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8E13" w14:textId="77777777" w:rsidR="00843D62" w:rsidRPr="00CA06DE" w:rsidRDefault="00DB1190" w:rsidP="00CA06DE">
      <w:pPr>
        <w:pStyle w:val="DescriptiveHeading"/>
        <w:spacing w:before="0" w:after="0"/>
        <w:jc w:val="center"/>
        <w:rPr>
          <w:rFonts w:ascii="Calibri" w:hAnsi="Calibri" w:cs="Calibri"/>
        </w:rPr>
      </w:pPr>
      <w:proofErr w:type="spellStart"/>
      <w:r>
        <w:rPr>
          <w:rFonts w:ascii="Calibri" w:hAnsi="Calibri" w:cs="Calibri"/>
        </w:rPr>
        <w:t>BrandSwap</w:t>
      </w:r>
      <w:proofErr w:type="spellEnd"/>
      <w:r w:rsidR="00843D62" w:rsidRPr="00CA06DE">
        <w:rPr>
          <w:rFonts w:ascii="Calibri" w:hAnsi="Calibri" w:cs="Calibri"/>
        </w:rPr>
        <w:t xml:space="preserve"> Limited </w:t>
      </w:r>
    </w:p>
    <w:p w14:paraId="59B94C90" w14:textId="77777777" w:rsidR="00324144" w:rsidRPr="00CA06DE" w:rsidRDefault="00843D62" w:rsidP="00CA06DE">
      <w:pPr>
        <w:pStyle w:val="DescriptiveHeading"/>
        <w:spacing w:before="0" w:after="0"/>
        <w:jc w:val="center"/>
        <w:rPr>
          <w:rFonts w:ascii="Calibri" w:hAnsi="Calibri" w:cs="Calibri"/>
        </w:rPr>
      </w:pPr>
      <w:r w:rsidRPr="00CA06DE">
        <w:rPr>
          <w:rFonts w:ascii="Calibri" w:hAnsi="Calibri" w:cs="Calibri"/>
        </w:rPr>
        <w:t>Data Processing Agreement</w:t>
      </w:r>
    </w:p>
    <w:p w14:paraId="34BB0C1A" w14:textId="77777777" w:rsidR="0056439C" w:rsidRPr="00CA06DE" w:rsidRDefault="0056439C" w:rsidP="00324144">
      <w:pPr>
        <w:pStyle w:val="IntroDefault"/>
        <w:rPr>
          <w:rFonts w:ascii="Calibri" w:hAnsi="Calibri" w:cs="Calibri"/>
          <w:szCs w:val="22"/>
        </w:rPr>
      </w:pPr>
    </w:p>
    <w:p w14:paraId="06CC087B" w14:textId="77777777" w:rsidR="00324144" w:rsidRPr="00CA06DE" w:rsidRDefault="00324144" w:rsidP="00324144">
      <w:pPr>
        <w:pStyle w:val="IntroDefault"/>
        <w:rPr>
          <w:rFonts w:ascii="Calibri" w:hAnsi="Calibri" w:cs="Calibri"/>
          <w:szCs w:val="22"/>
        </w:rPr>
      </w:pPr>
      <w:r w:rsidRPr="00CA06DE">
        <w:rPr>
          <w:rFonts w:ascii="Calibri" w:hAnsi="Calibri" w:cs="Calibri"/>
          <w:szCs w:val="22"/>
        </w:rPr>
        <w:t>This agreement is dated [</w:t>
      </w:r>
      <w:r w:rsidRPr="00CA06DE">
        <w:rPr>
          <w:rFonts w:ascii="Calibri" w:hAnsi="Calibri" w:cs="Calibri"/>
          <w:szCs w:val="22"/>
          <w:highlight w:val="yellow"/>
        </w:rPr>
        <w:t>DATE</w:t>
      </w:r>
      <w:r w:rsidRPr="00CA06DE">
        <w:rPr>
          <w:rFonts w:ascii="Calibri" w:hAnsi="Calibri" w:cs="Calibri"/>
          <w:szCs w:val="22"/>
        </w:rPr>
        <w:t>]</w:t>
      </w:r>
    </w:p>
    <w:p w14:paraId="5C6E11A7" w14:textId="77777777" w:rsidR="00324144" w:rsidRPr="00CA06DE" w:rsidRDefault="00324144" w:rsidP="00324144">
      <w:pPr>
        <w:pStyle w:val="DescriptiveHeading"/>
        <w:rPr>
          <w:rFonts w:ascii="Calibri" w:hAnsi="Calibri" w:cs="Calibri"/>
        </w:rPr>
      </w:pPr>
      <w:r w:rsidRPr="00CA06DE">
        <w:rPr>
          <w:rFonts w:ascii="Calibri" w:hAnsi="Calibri" w:cs="Calibri"/>
        </w:rPr>
        <w:t>PARTIES</w:t>
      </w:r>
    </w:p>
    <w:p w14:paraId="05A80BA3" w14:textId="77777777" w:rsidR="00324144" w:rsidRPr="00CA06DE" w:rsidRDefault="00324144" w:rsidP="00324144">
      <w:pPr>
        <w:pStyle w:val="Parties"/>
        <w:rPr>
          <w:rFonts w:ascii="Calibri" w:hAnsi="Calibri" w:cs="Calibri"/>
          <w:b/>
          <w:szCs w:val="22"/>
        </w:rPr>
      </w:pPr>
      <w:r w:rsidRPr="00CA06DE">
        <w:rPr>
          <w:rFonts w:ascii="Calibri" w:hAnsi="Calibri" w:cs="Calibri"/>
          <w:szCs w:val="22"/>
        </w:rPr>
        <w:t>[</w:t>
      </w:r>
      <w:r w:rsidRPr="00CA06DE">
        <w:rPr>
          <w:rFonts w:ascii="Calibri" w:hAnsi="Calibri" w:cs="Calibri"/>
          <w:szCs w:val="22"/>
          <w:highlight w:val="yellow"/>
        </w:rPr>
        <w:t>FULL COMPANY NAME</w:t>
      </w:r>
      <w:r w:rsidRPr="00CA06DE">
        <w:rPr>
          <w:rFonts w:ascii="Calibri" w:hAnsi="Calibri" w:cs="Calibri"/>
          <w:szCs w:val="22"/>
        </w:rPr>
        <w:t>] incorporated and registered in England and Wales with company number [</w:t>
      </w:r>
      <w:r w:rsidRPr="00CA06DE">
        <w:rPr>
          <w:rFonts w:ascii="Calibri" w:hAnsi="Calibri" w:cs="Calibri"/>
          <w:szCs w:val="22"/>
          <w:highlight w:val="yellow"/>
        </w:rPr>
        <w:t>NUMBER</w:t>
      </w:r>
      <w:r w:rsidRPr="00CA06DE">
        <w:rPr>
          <w:rFonts w:ascii="Calibri" w:hAnsi="Calibri" w:cs="Calibri"/>
          <w:szCs w:val="22"/>
        </w:rPr>
        <w:t>] whose registered office is at [</w:t>
      </w:r>
      <w:r w:rsidRPr="00CA06DE">
        <w:rPr>
          <w:rFonts w:ascii="Calibri" w:hAnsi="Calibri" w:cs="Calibri"/>
          <w:szCs w:val="22"/>
          <w:highlight w:val="yellow"/>
        </w:rPr>
        <w:t>REGISTERED OFFICE ADDRESS</w:t>
      </w:r>
      <w:r w:rsidRPr="00CA06DE">
        <w:rPr>
          <w:rFonts w:ascii="Calibri" w:hAnsi="Calibri" w:cs="Calibri"/>
          <w:szCs w:val="22"/>
        </w:rPr>
        <w:t xml:space="preserve">] </w:t>
      </w:r>
      <w:r w:rsidRPr="00CA06DE">
        <w:rPr>
          <w:rStyle w:val="DefTerm"/>
          <w:rFonts w:ascii="Calibri" w:hAnsi="Calibri" w:cs="Calibri"/>
          <w:szCs w:val="22"/>
        </w:rPr>
        <w:t>(Customer)</w:t>
      </w:r>
    </w:p>
    <w:p w14:paraId="1AD32922" w14:textId="77777777" w:rsidR="00324144" w:rsidRPr="00CA06DE" w:rsidRDefault="00DB1190" w:rsidP="00843D62">
      <w:pPr>
        <w:pStyle w:val="Parties"/>
        <w:rPr>
          <w:rFonts w:ascii="Calibri" w:hAnsi="Calibri" w:cs="Calibri"/>
          <w:szCs w:val="22"/>
        </w:rPr>
      </w:pPr>
      <w:proofErr w:type="spellStart"/>
      <w:r>
        <w:rPr>
          <w:rFonts w:ascii="Calibri" w:hAnsi="Calibri" w:cs="Calibri"/>
          <w:szCs w:val="22"/>
        </w:rPr>
        <w:t>BrandSwap</w:t>
      </w:r>
      <w:proofErr w:type="spellEnd"/>
      <w:r w:rsidR="00843D62" w:rsidRPr="00CA06DE">
        <w:rPr>
          <w:rFonts w:ascii="Calibri" w:hAnsi="Calibri" w:cs="Calibri"/>
          <w:szCs w:val="22"/>
        </w:rPr>
        <w:t xml:space="preserve"> Limited </w:t>
      </w:r>
      <w:r w:rsidR="00324144" w:rsidRPr="00CA06DE">
        <w:rPr>
          <w:rFonts w:ascii="Calibri" w:hAnsi="Calibri" w:cs="Calibri"/>
          <w:szCs w:val="22"/>
        </w:rPr>
        <w:t xml:space="preserve">incorporated and registered in England and Wales with company number </w:t>
      </w:r>
      <w:r w:rsidR="00843D62" w:rsidRPr="00CA06DE">
        <w:rPr>
          <w:rFonts w:ascii="Calibri" w:hAnsi="Calibri" w:cs="Calibri"/>
          <w:szCs w:val="22"/>
        </w:rPr>
        <w:t xml:space="preserve">1424 4549 </w:t>
      </w:r>
      <w:r w:rsidR="00324144" w:rsidRPr="00CA06DE">
        <w:rPr>
          <w:rFonts w:ascii="Calibri" w:hAnsi="Calibri" w:cs="Calibri"/>
          <w:szCs w:val="22"/>
        </w:rPr>
        <w:t xml:space="preserve">whose registered office is at </w:t>
      </w:r>
      <w:r w:rsidR="00843D62" w:rsidRPr="00CA06DE">
        <w:rPr>
          <w:rFonts w:ascii="Calibri" w:hAnsi="Calibri" w:cs="Calibri"/>
          <w:szCs w:val="22"/>
        </w:rPr>
        <w:t xml:space="preserve">1 Barons Court </w:t>
      </w:r>
      <w:proofErr w:type="spellStart"/>
      <w:r w:rsidR="00843D62" w:rsidRPr="00CA06DE">
        <w:rPr>
          <w:rFonts w:ascii="Calibri" w:hAnsi="Calibri" w:cs="Calibri"/>
          <w:szCs w:val="22"/>
        </w:rPr>
        <w:t>Graceways</w:t>
      </w:r>
      <w:proofErr w:type="spellEnd"/>
      <w:r w:rsidR="00843D62" w:rsidRPr="00CA06DE">
        <w:rPr>
          <w:rFonts w:ascii="Calibri" w:hAnsi="Calibri" w:cs="Calibri"/>
          <w:szCs w:val="22"/>
        </w:rPr>
        <w:t>, Whitehills Business Park Blackpool. FY4 5GP</w:t>
      </w:r>
      <w:r w:rsidR="00324144" w:rsidRPr="00CA06DE">
        <w:rPr>
          <w:rFonts w:ascii="Calibri" w:hAnsi="Calibri" w:cs="Calibri"/>
          <w:szCs w:val="22"/>
        </w:rPr>
        <w:t xml:space="preserve"> </w:t>
      </w:r>
      <w:r w:rsidR="00324144" w:rsidRPr="00CA06DE">
        <w:rPr>
          <w:rStyle w:val="DefTerm"/>
          <w:rFonts w:ascii="Calibri" w:hAnsi="Calibri" w:cs="Calibri"/>
          <w:szCs w:val="22"/>
        </w:rPr>
        <w:t>(Provider)</w:t>
      </w:r>
    </w:p>
    <w:p w14:paraId="31DDCAAE" w14:textId="77777777" w:rsidR="00324144" w:rsidRPr="00CA06DE" w:rsidRDefault="00324144" w:rsidP="00324144">
      <w:pPr>
        <w:pStyle w:val="DescriptiveHeading"/>
        <w:rPr>
          <w:rFonts w:ascii="Calibri" w:hAnsi="Calibri" w:cs="Calibri"/>
        </w:rPr>
      </w:pPr>
      <w:r w:rsidRPr="00CA06DE">
        <w:rPr>
          <w:rFonts w:ascii="Calibri" w:hAnsi="Calibri" w:cs="Calibri"/>
        </w:rPr>
        <w:t>BACKGROUND</w:t>
      </w:r>
    </w:p>
    <w:p w14:paraId="24B53A12" w14:textId="77777777" w:rsidR="00324144" w:rsidRPr="00CA06DE" w:rsidRDefault="00324144" w:rsidP="00324144">
      <w:pPr>
        <w:pStyle w:val="Background"/>
        <w:rPr>
          <w:rFonts w:ascii="Calibri" w:hAnsi="Calibri" w:cs="Calibri"/>
          <w:szCs w:val="22"/>
          <w:lang w:val="en-US"/>
        </w:rPr>
      </w:pPr>
      <w:bookmarkStart w:id="0" w:name="a643234"/>
      <w:r w:rsidRPr="00CA06DE">
        <w:rPr>
          <w:rFonts w:ascii="Calibri" w:hAnsi="Calibri" w:cs="Calibri"/>
          <w:szCs w:val="22"/>
          <w:lang w:val="en-US"/>
        </w:rPr>
        <w:t xml:space="preserve">The Customer and the Provider entered into </w:t>
      </w:r>
      <w:r w:rsidR="0056439C" w:rsidRPr="004A23D1">
        <w:rPr>
          <w:rFonts w:ascii="Calibri" w:hAnsi="Calibri" w:cs="Calibri"/>
          <w:szCs w:val="22"/>
          <w:lang w:val="en-US"/>
        </w:rPr>
        <w:t>a Master Service Agreement (</w:t>
      </w:r>
      <w:r w:rsidR="00CA06DE">
        <w:rPr>
          <w:rFonts w:ascii="Calibri" w:hAnsi="Calibri" w:cs="Calibri"/>
          <w:szCs w:val="22"/>
          <w:lang w:val="en-US"/>
        </w:rPr>
        <w:t>“</w:t>
      </w:r>
      <w:r w:rsidR="0056439C" w:rsidRPr="004A23D1">
        <w:rPr>
          <w:rFonts w:ascii="Calibri" w:hAnsi="Calibri" w:cs="Calibri"/>
          <w:szCs w:val="22"/>
          <w:lang w:val="en-US"/>
        </w:rPr>
        <w:t>Service Agreement</w:t>
      </w:r>
      <w:r w:rsidR="00CA06DE">
        <w:rPr>
          <w:rFonts w:ascii="Calibri" w:hAnsi="Calibri" w:cs="Calibri"/>
          <w:szCs w:val="22"/>
          <w:lang w:val="en-US"/>
        </w:rPr>
        <w:t>”</w:t>
      </w:r>
      <w:r w:rsidR="0056439C" w:rsidRPr="004A23D1">
        <w:rPr>
          <w:rFonts w:ascii="Calibri" w:hAnsi="Calibri" w:cs="Calibri"/>
          <w:szCs w:val="22"/>
          <w:lang w:val="en-US"/>
        </w:rPr>
        <w:t xml:space="preserve">) </w:t>
      </w:r>
      <w:r w:rsidRPr="00CA06DE">
        <w:rPr>
          <w:rFonts w:ascii="Calibri" w:hAnsi="Calibri" w:cs="Calibri"/>
          <w:szCs w:val="22"/>
          <w:lang w:val="en-US"/>
        </w:rPr>
        <w:t>that may require the Provider to process Personal Data on behalf of the Customer.</w:t>
      </w:r>
      <w:bookmarkEnd w:id="0"/>
    </w:p>
    <w:p w14:paraId="57819B9B" w14:textId="77777777" w:rsidR="00324144" w:rsidRPr="00CA06DE" w:rsidRDefault="00324144" w:rsidP="00324144">
      <w:pPr>
        <w:pStyle w:val="Background"/>
        <w:rPr>
          <w:rFonts w:ascii="Calibri" w:hAnsi="Calibri" w:cs="Calibri"/>
          <w:szCs w:val="22"/>
          <w:lang w:val="en-US"/>
        </w:rPr>
      </w:pPr>
      <w:bookmarkStart w:id="1" w:name="a514348"/>
      <w:r w:rsidRPr="00CA06DE">
        <w:rPr>
          <w:rFonts w:ascii="Calibri" w:hAnsi="Calibri" w:cs="Calibri"/>
          <w:szCs w:val="22"/>
          <w:lang w:val="en-US"/>
        </w:rPr>
        <w:t>This Personal Data Processing Agreement (</w:t>
      </w:r>
      <w:r w:rsidR="00CA06DE">
        <w:rPr>
          <w:rFonts w:ascii="Calibri" w:hAnsi="Calibri" w:cs="Calibri"/>
          <w:szCs w:val="22"/>
          <w:lang w:val="en-US"/>
        </w:rPr>
        <w:t>“</w:t>
      </w:r>
      <w:r w:rsidRPr="00CA06DE">
        <w:rPr>
          <w:rFonts w:ascii="Calibri" w:hAnsi="Calibri" w:cs="Calibri"/>
          <w:szCs w:val="22"/>
          <w:lang w:val="en-US"/>
        </w:rPr>
        <w:t>Agreement</w:t>
      </w:r>
      <w:r w:rsidR="00CA06DE">
        <w:rPr>
          <w:rFonts w:ascii="Calibri" w:hAnsi="Calibri" w:cs="Calibri"/>
          <w:szCs w:val="22"/>
          <w:lang w:val="en-US"/>
        </w:rPr>
        <w:t>”</w:t>
      </w:r>
      <w:r w:rsidRPr="00CA06DE">
        <w:rPr>
          <w:rFonts w:ascii="Calibri" w:hAnsi="Calibri" w:cs="Calibri"/>
          <w:szCs w:val="22"/>
          <w:lang w:val="en-US"/>
        </w:rPr>
        <w:t xml:space="preserve">) sets out the additional terms, requirements and conditions on which the Provider </w:t>
      </w:r>
      <w:r w:rsidR="002F180D" w:rsidRPr="004A23D1">
        <w:rPr>
          <w:rFonts w:ascii="Calibri" w:hAnsi="Calibri" w:cs="Calibri"/>
          <w:szCs w:val="22"/>
          <w:lang w:val="en-US"/>
        </w:rPr>
        <w:t xml:space="preserve">shall </w:t>
      </w:r>
      <w:r w:rsidRPr="00CA06DE">
        <w:rPr>
          <w:rFonts w:ascii="Calibri" w:hAnsi="Calibri" w:cs="Calibri"/>
          <w:szCs w:val="22"/>
          <w:lang w:val="en-US"/>
        </w:rPr>
        <w:t xml:space="preserve">process Personal Data when providing services under the </w:t>
      </w:r>
      <w:r w:rsidR="00CA06DE" w:rsidRPr="00CA06DE">
        <w:rPr>
          <w:rFonts w:ascii="Calibri" w:hAnsi="Calibri" w:cs="Calibri"/>
          <w:szCs w:val="22"/>
          <w:lang w:val="en-US"/>
        </w:rPr>
        <w:t xml:space="preserve">Service </w:t>
      </w:r>
      <w:r w:rsidRPr="00CA06DE">
        <w:rPr>
          <w:rFonts w:ascii="Calibri" w:hAnsi="Calibri" w:cs="Calibri"/>
          <w:szCs w:val="22"/>
          <w:lang w:val="en-US"/>
        </w:rPr>
        <w:t>Agreement. This Agreement contains the mandatory clauses required by Article 28(3) of the retained EU law version of the General Data Protection Regulation ((EU) 2016/679)</w:t>
      </w:r>
      <w:r w:rsidR="00843D62" w:rsidRPr="00CA06DE">
        <w:rPr>
          <w:rFonts w:ascii="Calibri" w:hAnsi="Calibri" w:cs="Calibri"/>
          <w:szCs w:val="22"/>
          <w:lang w:val="en-US"/>
        </w:rPr>
        <w:t xml:space="preserve"> (UK GDPR) for</w:t>
      </w:r>
      <w:r w:rsidRPr="00CA06DE">
        <w:rPr>
          <w:rFonts w:ascii="Calibri" w:hAnsi="Calibri" w:cs="Calibri"/>
          <w:szCs w:val="22"/>
          <w:lang w:val="en-US"/>
        </w:rPr>
        <w:t xml:space="preserve"> contracts between controllers and processors and the General Data Protection Regulation ((EU) 2016/679)</w:t>
      </w:r>
      <w:bookmarkEnd w:id="1"/>
      <w:r w:rsidR="00843D62" w:rsidRPr="00CA06DE">
        <w:rPr>
          <w:rFonts w:ascii="Calibri" w:hAnsi="Calibri" w:cs="Calibri"/>
          <w:szCs w:val="22"/>
          <w:lang w:val="en-US"/>
        </w:rPr>
        <w:t xml:space="preserve"> (EU GDPR). </w:t>
      </w:r>
    </w:p>
    <w:p w14:paraId="223B65B3" w14:textId="77777777" w:rsidR="00324144" w:rsidRPr="00CA06DE" w:rsidRDefault="00324144" w:rsidP="00324144">
      <w:pPr>
        <w:pStyle w:val="DescriptiveHeading"/>
        <w:rPr>
          <w:rFonts w:ascii="Calibri" w:hAnsi="Calibri" w:cs="Calibri"/>
        </w:rPr>
      </w:pPr>
      <w:r w:rsidRPr="00CA06DE">
        <w:rPr>
          <w:rFonts w:ascii="Calibri" w:hAnsi="Calibri" w:cs="Calibri"/>
        </w:rPr>
        <w:t>AGREED TERMS</w:t>
      </w:r>
    </w:p>
    <w:p w14:paraId="5BB93614" w14:textId="77777777" w:rsidR="00324144" w:rsidRPr="00CA06DE" w:rsidRDefault="00324144" w:rsidP="00324144">
      <w:pPr>
        <w:pStyle w:val="TitleClause"/>
        <w:rPr>
          <w:rFonts w:ascii="Calibri" w:hAnsi="Calibri" w:cs="Calibri"/>
          <w:szCs w:val="22"/>
        </w:rPr>
      </w:pPr>
      <w:r w:rsidRPr="00CA06DE">
        <w:rPr>
          <w:rFonts w:ascii="Calibri" w:hAnsi="Calibri" w:cs="Calibri"/>
          <w:szCs w:val="22"/>
        </w:rPr>
        <w:fldChar w:fldCharType="begin"/>
      </w:r>
      <w:r w:rsidRPr="00CA06DE">
        <w:rPr>
          <w:rFonts w:ascii="Calibri" w:hAnsi="Calibri" w:cs="Calibri"/>
          <w:szCs w:val="22"/>
        </w:rPr>
        <w:instrText>TC "1. Definitions and Interpretation" \l 1</w:instrText>
      </w:r>
      <w:r w:rsidRPr="00CA06DE">
        <w:rPr>
          <w:rFonts w:ascii="Calibri" w:hAnsi="Calibri" w:cs="Calibri"/>
          <w:szCs w:val="22"/>
        </w:rPr>
        <w:fldChar w:fldCharType="end"/>
      </w:r>
      <w:bookmarkStart w:id="2" w:name="a235906"/>
      <w:bookmarkStart w:id="3" w:name="_Toc256000000"/>
      <w:r w:rsidRPr="00CA06DE">
        <w:rPr>
          <w:rFonts w:ascii="Calibri" w:hAnsi="Calibri" w:cs="Calibri"/>
          <w:szCs w:val="22"/>
        </w:rPr>
        <w:t>Definitions and Interpretation</w:t>
      </w:r>
      <w:bookmarkEnd w:id="2"/>
      <w:bookmarkEnd w:id="3"/>
    </w:p>
    <w:p w14:paraId="6B5C83FD" w14:textId="77777777" w:rsidR="00324144" w:rsidRPr="00CA06DE" w:rsidRDefault="00324144" w:rsidP="00324144">
      <w:pPr>
        <w:pStyle w:val="ParaClause"/>
        <w:rPr>
          <w:rFonts w:ascii="Calibri" w:hAnsi="Calibri" w:cs="Calibri"/>
          <w:szCs w:val="22"/>
          <w:shd w:val="clear" w:color="auto" w:fill="FFFFFF"/>
        </w:rPr>
      </w:pPr>
      <w:r w:rsidRPr="00CA06DE">
        <w:rPr>
          <w:rFonts w:ascii="Calibri" w:hAnsi="Calibri" w:cs="Calibri"/>
          <w:szCs w:val="22"/>
          <w:shd w:val="clear" w:color="auto" w:fill="FFFFFF"/>
        </w:rPr>
        <w:t>The following definitions and rules of interpretation apply in this Agreement.</w:t>
      </w:r>
    </w:p>
    <w:p w14:paraId="5740823C" w14:textId="77777777" w:rsidR="00324144" w:rsidRPr="00CA06DE" w:rsidRDefault="00324144" w:rsidP="00324144">
      <w:pPr>
        <w:pStyle w:val="Untitledsubclause1"/>
        <w:rPr>
          <w:rFonts w:ascii="Calibri" w:hAnsi="Calibri" w:cs="Calibri"/>
          <w:szCs w:val="22"/>
        </w:rPr>
      </w:pPr>
      <w:bookmarkStart w:id="4" w:name="a200446"/>
      <w:r w:rsidRPr="00CA06DE">
        <w:rPr>
          <w:rFonts w:ascii="Calibri" w:hAnsi="Calibri" w:cs="Calibri"/>
          <w:szCs w:val="22"/>
          <w:shd w:val="clear" w:color="auto" w:fill="FFFFFF"/>
        </w:rPr>
        <w:t>Definitions:</w:t>
      </w:r>
      <w:bookmarkEnd w:id="4"/>
    </w:p>
    <w:p w14:paraId="60D1256A" w14:textId="77777777" w:rsidR="00324144" w:rsidRPr="00CA06DE" w:rsidRDefault="00324144" w:rsidP="00324144">
      <w:pPr>
        <w:pStyle w:val="DefinedTermPara"/>
        <w:numPr>
          <w:ilvl w:val="0"/>
          <w:numId w:val="25"/>
        </w:numPr>
        <w:rPr>
          <w:rFonts w:ascii="Calibri" w:hAnsi="Calibri" w:cs="Calibri"/>
          <w:b/>
          <w:szCs w:val="22"/>
        </w:rPr>
      </w:pPr>
      <w:bookmarkStart w:id="5" w:name="a612080"/>
      <w:r w:rsidRPr="00CA06DE">
        <w:rPr>
          <w:rStyle w:val="DefTerm"/>
          <w:rFonts w:ascii="Calibri" w:hAnsi="Calibri" w:cs="Calibri"/>
          <w:szCs w:val="22"/>
        </w:rPr>
        <w:t>Business Purposes</w:t>
      </w:r>
      <w:r w:rsidRPr="00CA06DE">
        <w:rPr>
          <w:rFonts w:ascii="Calibri" w:hAnsi="Calibri" w:cs="Calibri"/>
          <w:szCs w:val="22"/>
        </w:rPr>
        <w:t xml:space="preserve">: </w:t>
      </w:r>
      <w:r w:rsidR="00CA06DE">
        <w:rPr>
          <w:rFonts w:ascii="Calibri" w:hAnsi="Calibri" w:cs="Calibri"/>
          <w:szCs w:val="22"/>
        </w:rPr>
        <w:t>T</w:t>
      </w:r>
      <w:r w:rsidRPr="00CA06DE">
        <w:rPr>
          <w:rFonts w:ascii="Calibri" w:hAnsi="Calibri" w:cs="Calibri"/>
          <w:szCs w:val="22"/>
        </w:rPr>
        <w:t xml:space="preserve">he services to be provided by the Provider to the Customer as described in the Master Agreement and any other purpose specifically identified in </w:t>
      </w:r>
      <w:r w:rsidRPr="00CA06DE">
        <w:rPr>
          <w:rFonts w:ascii="Calibri" w:hAnsi="Calibri" w:cs="Calibri"/>
          <w:szCs w:val="22"/>
        </w:rPr>
        <w:fldChar w:fldCharType="begin"/>
      </w:r>
      <w:r w:rsidRPr="00CA06DE">
        <w:rPr>
          <w:rFonts w:ascii="Calibri" w:hAnsi="Calibri" w:cs="Calibri"/>
          <w:szCs w:val="22"/>
        </w:rPr>
        <w:instrText>PAGEREF a976303\# "''"  \h</w:instrText>
      </w:r>
      <w:r w:rsidRPr="00CA06DE">
        <w:rPr>
          <w:rFonts w:ascii="Calibri" w:hAnsi="Calibri" w:cs="Calibri"/>
          <w:szCs w:val="22"/>
        </w:rPr>
      </w:r>
      <w:r w:rsidRPr="00CA06DE">
        <w:rPr>
          <w:rFonts w:ascii="Calibri" w:hAnsi="Calibri" w:cs="Calibri"/>
          <w:szCs w:val="22"/>
        </w:rPr>
        <w:fldChar w:fldCharType="separate"/>
      </w:r>
      <w:r w:rsidRPr="00CA06DE">
        <w:rPr>
          <w:rFonts w:ascii="Calibri" w:hAnsi="Calibri" w:cs="Calibri"/>
          <w:szCs w:val="22"/>
        </w:rPr>
        <w:fldChar w:fldCharType="end"/>
      </w:r>
      <w:r w:rsidRPr="00CA06DE">
        <w:rPr>
          <w:rFonts w:ascii="Calibri" w:hAnsi="Calibri" w:cs="Calibri"/>
          <w:szCs w:val="22"/>
        </w:rPr>
        <w:fldChar w:fldCharType="begin"/>
      </w:r>
      <w:r w:rsidRPr="00CA06DE">
        <w:rPr>
          <w:rFonts w:ascii="Calibri" w:hAnsi="Calibri" w:cs="Calibri"/>
          <w:szCs w:val="22"/>
          <w:highlight w:val="lightGray"/>
        </w:rPr>
        <w:instrText>REF a976303 \h \w</w:instrText>
      </w:r>
      <w:r w:rsidRPr="00CA06DE">
        <w:rPr>
          <w:rFonts w:ascii="Calibri" w:hAnsi="Calibri" w:cs="Calibri"/>
          <w:szCs w:val="22"/>
        </w:rPr>
      </w:r>
      <w:r w:rsidR="0056439C" w:rsidRPr="00CA06DE">
        <w:rPr>
          <w:rFonts w:ascii="Calibri" w:hAnsi="Calibri" w:cs="Calibri"/>
          <w:szCs w:val="22"/>
        </w:rPr>
        <w:instrText xml:space="preserve"> \* MERGEFORMAT </w:instrText>
      </w:r>
      <w:r w:rsidRPr="00CA06DE">
        <w:rPr>
          <w:rFonts w:ascii="Calibri" w:hAnsi="Calibri" w:cs="Calibri"/>
          <w:szCs w:val="22"/>
        </w:rPr>
        <w:fldChar w:fldCharType="separate"/>
      </w:r>
      <w:r w:rsidRPr="00CA06DE">
        <w:rPr>
          <w:rFonts w:ascii="Calibri" w:hAnsi="Calibri" w:cs="Calibri"/>
          <w:szCs w:val="22"/>
        </w:rPr>
        <w:t>ANNEX A</w:t>
      </w:r>
      <w:r w:rsidRPr="00CA06DE">
        <w:rPr>
          <w:rFonts w:ascii="Calibri" w:hAnsi="Calibri" w:cs="Calibri"/>
          <w:szCs w:val="22"/>
        </w:rPr>
        <w:fldChar w:fldCharType="end"/>
      </w:r>
      <w:r w:rsidRPr="00CA06DE">
        <w:rPr>
          <w:rFonts w:ascii="Calibri" w:hAnsi="Calibri" w:cs="Calibri"/>
          <w:szCs w:val="22"/>
        </w:rPr>
        <w:t>.</w:t>
      </w:r>
      <w:bookmarkEnd w:id="5"/>
    </w:p>
    <w:p w14:paraId="529549BE" w14:textId="77777777" w:rsidR="00324144" w:rsidRPr="00CA06DE" w:rsidRDefault="00324144" w:rsidP="00324144">
      <w:pPr>
        <w:pStyle w:val="DefinedTermPara"/>
        <w:numPr>
          <w:ilvl w:val="0"/>
          <w:numId w:val="25"/>
        </w:numPr>
        <w:rPr>
          <w:rFonts w:ascii="Calibri" w:hAnsi="Calibri" w:cs="Calibri"/>
          <w:b/>
          <w:szCs w:val="22"/>
        </w:rPr>
      </w:pPr>
      <w:r w:rsidRPr="00CA06DE">
        <w:rPr>
          <w:rFonts w:ascii="Calibri" w:hAnsi="Calibri" w:cs="Calibri"/>
          <w:b/>
          <w:szCs w:val="22"/>
        </w:rPr>
        <w:t>Commissioner</w:t>
      </w:r>
      <w:r w:rsidRPr="00CA06DE">
        <w:rPr>
          <w:rFonts w:ascii="Calibri" w:hAnsi="Calibri" w:cs="Calibri"/>
          <w:bCs/>
          <w:szCs w:val="22"/>
        </w:rPr>
        <w:t>:</w:t>
      </w:r>
      <w:r w:rsidRPr="00CA06DE">
        <w:rPr>
          <w:rFonts w:ascii="Calibri" w:hAnsi="Calibri" w:cs="Calibri"/>
          <w:b/>
          <w:szCs w:val="22"/>
        </w:rPr>
        <w:t xml:space="preserve"> </w:t>
      </w:r>
      <w:r w:rsidR="00CA06DE">
        <w:rPr>
          <w:rFonts w:ascii="Calibri" w:hAnsi="Calibri" w:cs="Calibri"/>
          <w:bCs/>
          <w:szCs w:val="22"/>
        </w:rPr>
        <w:t>T</w:t>
      </w:r>
      <w:r w:rsidR="0056439C" w:rsidRPr="00CA06DE">
        <w:rPr>
          <w:rFonts w:ascii="Calibri" w:hAnsi="Calibri" w:cs="Calibri"/>
          <w:bCs/>
          <w:szCs w:val="22"/>
        </w:rPr>
        <w:t>he</w:t>
      </w:r>
      <w:r w:rsidRPr="00CA06DE">
        <w:rPr>
          <w:rFonts w:ascii="Calibri" w:hAnsi="Calibri" w:cs="Calibri"/>
          <w:bCs/>
          <w:szCs w:val="22"/>
        </w:rPr>
        <w:t xml:space="preserve"> Information Commissioner (see Article 4(A3), UK GDPR and section 114</w:t>
      </w:r>
      <w:r w:rsidR="0056439C" w:rsidRPr="004A23D1">
        <w:rPr>
          <w:rFonts w:ascii="Calibri" w:hAnsi="Calibri" w:cs="Calibri"/>
          <w:bCs/>
          <w:szCs w:val="22"/>
        </w:rPr>
        <w:t xml:space="preserve"> of the</w:t>
      </w:r>
      <w:r w:rsidRPr="00CA06DE">
        <w:rPr>
          <w:rFonts w:ascii="Calibri" w:hAnsi="Calibri" w:cs="Calibri"/>
          <w:bCs/>
          <w:szCs w:val="22"/>
        </w:rPr>
        <w:t xml:space="preserve"> </w:t>
      </w:r>
      <w:r w:rsidR="0056439C" w:rsidRPr="004A23D1">
        <w:rPr>
          <w:rFonts w:ascii="Calibri" w:hAnsi="Calibri" w:cs="Calibri"/>
          <w:bCs/>
          <w:szCs w:val="22"/>
        </w:rPr>
        <w:t>UK Data Protection Act (</w:t>
      </w:r>
      <w:r w:rsidRPr="00CA06DE">
        <w:rPr>
          <w:rFonts w:ascii="Calibri" w:hAnsi="Calibri" w:cs="Calibri"/>
          <w:bCs/>
          <w:szCs w:val="22"/>
        </w:rPr>
        <w:t>DPA 2018).</w:t>
      </w:r>
    </w:p>
    <w:p w14:paraId="443AEFFD" w14:textId="77777777" w:rsidR="00324144" w:rsidRPr="00CA06DE" w:rsidRDefault="00324144" w:rsidP="00324144">
      <w:pPr>
        <w:pStyle w:val="DefinedTermPara"/>
        <w:numPr>
          <w:ilvl w:val="0"/>
          <w:numId w:val="25"/>
        </w:numPr>
        <w:rPr>
          <w:rFonts w:ascii="Calibri" w:hAnsi="Calibri" w:cs="Calibri"/>
          <w:b/>
          <w:szCs w:val="22"/>
        </w:rPr>
      </w:pPr>
      <w:r w:rsidRPr="00CA06DE">
        <w:rPr>
          <w:rFonts w:ascii="Calibri" w:hAnsi="Calibri" w:cs="Calibri"/>
          <w:b/>
          <w:szCs w:val="22"/>
        </w:rPr>
        <w:t>Controller, Processor, Data Subject, Personal Data, Personal Data Breach and Processing</w:t>
      </w:r>
      <w:r w:rsidRPr="00CA06DE">
        <w:rPr>
          <w:rFonts w:ascii="Calibri" w:hAnsi="Calibri" w:cs="Calibri"/>
          <w:bCs/>
          <w:szCs w:val="22"/>
        </w:rPr>
        <w:t>: have the meanings given to them in the Data Protection Legislation.</w:t>
      </w:r>
    </w:p>
    <w:p w14:paraId="2415A151" w14:textId="77777777" w:rsidR="00324144" w:rsidRPr="00CA06DE" w:rsidRDefault="00324144" w:rsidP="00324144">
      <w:pPr>
        <w:pStyle w:val="DefinedTermPara"/>
        <w:numPr>
          <w:ilvl w:val="0"/>
          <w:numId w:val="25"/>
        </w:numPr>
        <w:rPr>
          <w:rFonts w:ascii="Calibri" w:hAnsi="Calibri" w:cs="Calibri"/>
          <w:b/>
          <w:bCs/>
          <w:szCs w:val="22"/>
        </w:rPr>
      </w:pPr>
      <w:r w:rsidRPr="00CA06DE">
        <w:rPr>
          <w:rFonts w:ascii="Calibri" w:hAnsi="Calibri" w:cs="Calibri"/>
          <w:b/>
          <w:bCs/>
          <w:szCs w:val="22"/>
        </w:rPr>
        <w:t>Data Protection Legislation:</w:t>
      </w:r>
    </w:p>
    <w:p w14:paraId="6CDA632F" w14:textId="77777777" w:rsidR="00324144" w:rsidRPr="00CA06DE" w:rsidRDefault="00324144" w:rsidP="00CA06DE">
      <w:pPr>
        <w:pStyle w:val="DefinedTermNumber"/>
        <w:rPr>
          <w:rFonts w:ascii="Calibri" w:hAnsi="Calibri" w:cs="Calibri"/>
          <w:szCs w:val="22"/>
        </w:rPr>
      </w:pPr>
      <w:r w:rsidRPr="00CA06DE">
        <w:rPr>
          <w:rFonts w:ascii="Calibri" w:hAnsi="Calibri" w:cs="Calibri"/>
          <w:szCs w:val="22"/>
        </w:rPr>
        <w:t>To the extent the UK GDPR applies, the law of the United Kingdom or of a part of the United Kingdom which relates to the protection of personal data.</w:t>
      </w:r>
    </w:p>
    <w:p w14:paraId="111BFC36" w14:textId="77777777" w:rsidR="00324144" w:rsidRPr="00CA06DE" w:rsidRDefault="00324144" w:rsidP="00324144">
      <w:pPr>
        <w:pStyle w:val="DefinedTermNumber"/>
        <w:numPr>
          <w:ilvl w:val="1"/>
          <w:numId w:val="25"/>
        </w:numPr>
        <w:rPr>
          <w:rFonts w:ascii="Calibri" w:hAnsi="Calibri" w:cs="Calibri"/>
          <w:szCs w:val="22"/>
        </w:rPr>
      </w:pPr>
      <w:r w:rsidRPr="00CA06DE">
        <w:rPr>
          <w:rFonts w:ascii="Calibri" w:hAnsi="Calibri" w:cs="Calibri"/>
          <w:szCs w:val="22"/>
        </w:rPr>
        <w:lastRenderedPageBreak/>
        <w:t>To the extent the EU GDPR applies, the law of the European Union or any member state of the European Union to which the Customer or Provider is subject which relates to the protection of personal data.</w:t>
      </w:r>
    </w:p>
    <w:p w14:paraId="79A75A16" w14:textId="77777777" w:rsidR="00324144" w:rsidRPr="00CA06DE" w:rsidRDefault="00324144" w:rsidP="00324144">
      <w:pPr>
        <w:pStyle w:val="DefinedTermPara"/>
        <w:numPr>
          <w:ilvl w:val="0"/>
          <w:numId w:val="25"/>
        </w:numPr>
        <w:rPr>
          <w:rFonts w:ascii="Calibri" w:hAnsi="Calibri" w:cs="Calibri"/>
          <w:szCs w:val="22"/>
        </w:rPr>
      </w:pPr>
      <w:bookmarkStart w:id="6" w:name="a833770"/>
      <w:r w:rsidRPr="00CA06DE">
        <w:rPr>
          <w:rStyle w:val="DefTerm"/>
          <w:rFonts w:ascii="Calibri" w:hAnsi="Calibri" w:cs="Calibri"/>
          <w:szCs w:val="22"/>
        </w:rPr>
        <w:t>Data Subject</w:t>
      </w:r>
      <w:r w:rsidRPr="00CA06DE">
        <w:rPr>
          <w:rFonts w:ascii="Calibri" w:hAnsi="Calibri" w:cs="Calibri"/>
          <w:szCs w:val="22"/>
        </w:rPr>
        <w:t>:</w:t>
      </w:r>
      <w:r w:rsidR="00CA06DE">
        <w:rPr>
          <w:rFonts w:ascii="Calibri" w:hAnsi="Calibri" w:cs="Calibri"/>
          <w:szCs w:val="22"/>
        </w:rPr>
        <w:t xml:space="preserve"> T</w:t>
      </w:r>
      <w:r w:rsidRPr="00CA06DE">
        <w:rPr>
          <w:rFonts w:ascii="Calibri" w:hAnsi="Calibri" w:cs="Calibri"/>
          <w:szCs w:val="22"/>
        </w:rPr>
        <w:t>he identified or identifiable living individual to whom the Personal Data relates.</w:t>
      </w:r>
      <w:bookmarkEnd w:id="6"/>
    </w:p>
    <w:p w14:paraId="24380038" w14:textId="77777777" w:rsidR="00324144" w:rsidRPr="00CA06DE" w:rsidRDefault="00324144" w:rsidP="00324144">
      <w:pPr>
        <w:pStyle w:val="DefinedTermPara"/>
        <w:numPr>
          <w:ilvl w:val="0"/>
          <w:numId w:val="25"/>
        </w:numPr>
        <w:rPr>
          <w:rFonts w:ascii="Calibri" w:hAnsi="Calibri" w:cs="Calibri"/>
          <w:szCs w:val="22"/>
        </w:rPr>
      </w:pPr>
      <w:bookmarkStart w:id="7" w:name="a592973"/>
      <w:r w:rsidRPr="00CA06DE">
        <w:rPr>
          <w:rStyle w:val="DefTerm"/>
          <w:rFonts w:ascii="Calibri" w:hAnsi="Calibri" w:cs="Calibri"/>
          <w:szCs w:val="22"/>
        </w:rPr>
        <w:t>EU GDPR</w:t>
      </w:r>
      <w:r w:rsidRPr="00CA06DE">
        <w:rPr>
          <w:rFonts w:ascii="Calibri" w:hAnsi="Calibri" w:cs="Calibri"/>
          <w:szCs w:val="22"/>
        </w:rPr>
        <w:t xml:space="preserve">: </w:t>
      </w:r>
      <w:r w:rsidR="00CA06DE">
        <w:rPr>
          <w:rFonts w:ascii="Calibri" w:hAnsi="Calibri" w:cs="Calibri"/>
          <w:szCs w:val="22"/>
        </w:rPr>
        <w:t>T</w:t>
      </w:r>
      <w:r w:rsidRPr="00CA06DE">
        <w:rPr>
          <w:rFonts w:ascii="Calibri" w:hAnsi="Calibri" w:cs="Calibri"/>
          <w:szCs w:val="22"/>
        </w:rPr>
        <w:t>he General Data Protection Regulation ((EU) 2016/679).</w:t>
      </w:r>
      <w:bookmarkEnd w:id="7"/>
    </w:p>
    <w:p w14:paraId="136D327F" w14:textId="77777777" w:rsidR="00324144" w:rsidRPr="00CA06DE" w:rsidRDefault="00324144" w:rsidP="00324144">
      <w:pPr>
        <w:pStyle w:val="DefinedTermPara"/>
        <w:numPr>
          <w:ilvl w:val="0"/>
          <w:numId w:val="0"/>
        </w:numPr>
        <w:ind w:left="720"/>
        <w:rPr>
          <w:rFonts w:ascii="Calibri" w:hAnsi="Calibri" w:cs="Calibri"/>
          <w:szCs w:val="22"/>
        </w:rPr>
      </w:pPr>
      <w:bookmarkStart w:id="8" w:name="a600873"/>
      <w:r w:rsidRPr="00CA06DE">
        <w:rPr>
          <w:rStyle w:val="DefTerm"/>
          <w:rFonts w:ascii="Calibri" w:hAnsi="Calibri" w:cs="Calibri"/>
          <w:szCs w:val="22"/>
        </w:rPr>
        <w:t>EEA:</w:t>
      </w:r>
      <w:r w:rsidRPr="00CA06DE">
        <w:rPr>
          <w:rFonts w:ascii="Calibri" w:hAnsi="Calibri" w:cs="Calibri"/>
          <w:szCs w:val="22"/>
        </w:rPr>
        <w:t xml:space="preserve"> </w:t>
      </w:r>
      <w:r w:rsidR="00CA06DE">
        <w:rPr>
          <w:rFonts w:ascii="Calibri" w:hAnsi="Calibri" w:cs="Calibri"/>
          <w:szCs w:val="22"/>
        </w:rPr>
        <w:t>T</w:t>
      </w:r>
      <w:r w:rsidRPr="00CA06DE">
        <w:rPr>
          <w:rFonts w:ascii="Calibri" w:hAnsi="Calibri" w:cs="Calibri"/>
          <w:szCs w:val="22"/>
        </w:rPr>
        <w:t>he European Economic Area.</w:t>
      </w:r>
      <w:bookmarkEnd w:id="8"/>
    </w:p>
    <w:p w14:paraId="5F36F6EB" w14:textId="77777777" w:rsidR="00324144" w:rsidRPr="00CA06DE" w:rsidRDefault="00324144" w:rsidP="00324144">
      <w:pPr>
        <w:pStyle w:val="DefinedTermPara"/>
        <w:numPr>
          <w:ilvl w:val="0"/>
          <w:numId w:val="25"/>
        </w:numPr>
        <w:rPr>
          <w:rFonts w:ascii="Calibri" w:hAnsi="Calibri" w:cs="Calibri"/>
          <w:szCs w:val="22"/>
        </w:rPr>
      </w:pPr>
      <w:bookmarkStart w:id="9" w:name="a577667"/>
      <w:r w:rsidRPr="00CA06DE">
        <w:rPr>
          <w:rStyle w:val="DefTerm"/>
          <w:rFonts w:ascii="Calibri" w:hAnsi="Calibri" w:cs="Calibri"/>
          <w:szCs w:val="22"/>
        </w:rPr>
        <w:t>Personal Data</w:t>
      </w:r>
      <w:r w:rsidRPr="00CA06DE">
        <w:rPr>
          <w:rFonts w:ascii="Calibri" w:hAnsi="Calibri" w:cs="Calibri"/>
          <w:szCs w:val="22"/>
        </w:rPr>
        <w:t xml:space="preserve">: </w:t>
      </w:r>
      <w:r w:rsidR="00CA06DE">
        <w:rPr>
          <w:rFonts w:ascii="Calibri" w:hAnsi="Calibri" w:cs="Calibri"/>
          <w:szCs w:val="22"/>
        </w:rPr>
        <w:t>M</w:t>
      </w:r>
      <w:r w:rsidRPr="00CA06DE">
        <w:rPr>
          <w:rFonts w:ascii="Calibri" w:hAnsi="Calibri" w:cs="Calibri"/>
          <w:szCs w:val="22"/>
        </w:rPr>
        <w:t xml:space="preserve">eans any information relating to an identified or identifiable living individual that is processed by the Provider on behalf of the Customer as a result of, or in connection with, the provision of the services under the </w:t>
      </w:r>
      <w:r w:rsidR="00CA06DE">
        <w:rPr>
          <w:rFonts w:ascii="Calibri" w:hAnsi="Calibri" w:cs="Calibri"/>
          <w:szCs w:val="22"/>
        </w:rPr>
        <w:t xml:space="preserve">Service </w:t>
      </w:r>
      <w:r w:rsidRPr="00CA06DE">
        <w:rPr>
          <w:rFonts w:ascii="Calibri" w:hAnsi="Calibri" w:cs="Calibri"/>
          <w:szCs w:val="22"/>
        </w:rPr>
        <w:t>Agreement; an identifiable living individual is one who can be identified, directly or indirectly, in particular by reference to an identifier such as a name, identification number, location data, an online identifier or to one or more factors specific to the physical, physiological, genetic, mental, economic, cultural or social identity of the individual.</w:t>
      </w:r>
      <w:bookmarkEnd w:id="9"/>
    </w:p>
    <w:p w14:paraId="5AAB8BD5" w14:textId="77777777" w:rsidR="00324144" w:rsidRPr="00CA06DE" w:rsidRDefault="00324144" w:rsidP="00324144">
      <w:pPr>
        <w:pStyle w:val="DefinedTermPara"/>
        <w:numPr>
          <w:ilvl w:val="0"/>
          <w:numId w:val="25"/>
        </w:numPr>
        <w:rPr>
          <w:rFonts w:ascii="Calibri" w:hAnsi="Calibri" w:cs="Calibri"/>
          <w:b/>
          <w:szCs w:val="22"/>
        </w:rPr>
      </w:pPr>
      <w:bookmarkStart w:id="10" w:name="a353822"/>
      <w:r w:rsidRPr="00CA06DE">
        <w:rPr>
          <w:rStyle w:val="DefTerm"/>
          <w:rFonts w:ascii="Calibri" w:hAnsi="Calibri" w:cs="Calibri"/>
          <w:szCs w:val="22"/>
        </w:rPr>
        <w:t>Processing, processes, processed, process</w:t>
      </w:r>
      <w:r w:rsidRPr="00CA06DE">
        <w:rPr>
          <w:rFonts w:ascii="Calibri" w:hAnsi="Calibri" w:cs="Calibri"/>
          <w:szCs w:val="22"/>
        </w:rPr>
        <w:t xml:space="preserve">: </w:t>
      </w:r>
      <w:r w:rsidR="00CA06DE">
        <w:rPr>
          <w:rFonts w:ascii="Calibri" w:hAnsi="Calibri" w:cs="Calibri"/>
          <w:szCs w:val="22"/>
        </w:rPr>
        <w:t>A</w:t>
      </w:r>
      <w:r w:rsidRPr="00CA06DE">
        <w:rPr>
          <w:rFonts w:ascii="Calibri" w:hAnsi="Calibri" w:cs="Calibri"/>
          <w:szCs w:val="22"/>
        </w:rPr>
        <w:t xml:space="preserve">ny activity that involves the use of the Personal Data. It includes, but is not limited to, any operation or set of operations which is performed on the Personal Data or on sets of the Personal Data, whether or not by automated means, such as collection, recording, organisation, structuring, storage, adaptation or alteration, retrieval, consultation, disclosure by transmission, dissemination or otherwise making available, alignment or combination, restriction, erasure or destruction. Processing also includes transferring the Personal Data to </w:t>
      </w:r>
      <w:r w:rsidR="0056439C" w:rsidRPr="00CA06DE">
        <w:rPr>
          <w:rFonts w:ascii="Calibri" w:hAnsi="Calibri" w:cs="Calibri"/>
          <w:szCs w:val="22"/>
        </w:rPr>
        <w:t>third parties</w:t>
      </w:r>
      <w:r w:rsidRPr="00CA06DE">
        <w:rPr>
          <w:rFonts w:ascii="Calibri" w:hAnsi="Calibri" w:cs="Calibri"/>
          <w:szCs w:val="22"/>
        </w:rPr>
        <w:t>.</w:t>
      </w:r>
      <w:bookmarkEnd w:id="10"/>
    </w:p>
    <w:p w14:paraId="02204AE4" w14:textId="77777777" w:rsidR="00324144" w:rsidRPr="00CA06DE" w:rsidRDefault="00324144" w:rsidP="00324144">
      <w:pPr>
        <w:pStyle w:val="DefinedTermPara"/>
        <w:numPr>
          <w:ilvl w:val="0"/>
          <w:numId w:val="25"/>
        </w:numPr>
        <w:rPr>
          <w:rFonts w:ascii="Calibri" w:hAnsi="Calibri" w:cs="Calibri"/>
          <w:szCs w:val="22"/>
        </w:rPr>
      </w:pPr>
      <w:bookmarkStart w:id="11" w:name="a338061"/>
      <w:r w:rsidRPr="00CA06DE">
        <w:rPr>
          <w:rStyle w:val="DefTerm"/>
          <w:rFonts w:ascii="Calibri" w:hAnsi="Calibri" w:cs="Calibri"/>
          <w:szCs w:val="22"/>
        </w:rPr>
        <w:t>Personal Data Breach</w:t>
      </w:r>
      <w:r w:rsidRPr="00CA06DE">
        <w:rPr>
          <w:rFonts w:ascii="Calibri" w:hAnsi="Calibri" w:cs="Calibri"/>
          <w:szCs w:val="22"/>
        </w:rPr>
        <w:t>:</w:t>
      </w:r>
      <w:r w:rsidR="00CA06DE">
        <w:rPr>
          <w:rFonts w:ascii="Calibri" w:hAnsi="Calibri" w:cs="Calibri"/>
          <w:szCs w:val="22"/>
        </w:rPr>
        <w:t xml:space="preserve"> A</w:t>
      </w:r>
      <w:r w:rsidRPr="00CA06DE">
        <w:rPr>
          <w:rFonts w:ascii="Calibri" w:hAnsi="Calibri" w:cs="Calibri"/>
          <w:szCs w:val="22"/>
        </w:rPr>
        <w:t xml:space="preserve"> breach of security leading to the accidental, unauthorised or unlawful destruction, loss, alteration, disclosure of, or access to, the Personal Data.</w:t>
      </w:r>
      <w:bookmarkEnd w:id="11"/>
    </w:p>
    <w:p w14:paraId="2BE5BE82" w14:textId="77777777" w:rsidR="00324144" w:rsidRPr="00CA06DE" w:rsidRDefault="00324144" w:rsidP="00324144">
      <w:pPr>
        <w:pStyle w:val="DefinedTermPara"/>
        <w:numPr>
          <w:ilvl w:val="0"/>
          <w:numId w:val="25"/>
        </w:numPr>
        <w:rPr>
          <w:rFonts w:ascii="Calibri" w:hAnsi="Calibri" w:cs="Calibri"/>
          <w:szCs w:val="22"/>
        </w:rPr>
      </w:pPr>
      <w:r w:rsidRPr="00CA06DE">
        <w:rPr>
          <w:rFonts w:ascii="Calibri" w:hAnsi="Calibri" w:cs="Calibri"/>
          <w:b/>
          <w:bCs/>
          <w:szCs w:val="22"/>
        </w:rPr>
        <w:t>Processor</w:t>
      </w:r>
      <w:r w:rsidRPr="00CA06DE">
        <w:rPr>
          <w:rFonts w:ascii="Calibri" w:hAnsi="Calibri" w:cs="Calibri"/>
          <w:szCs w:val="22"/>
        </w:rPr>
        <w:t xml:space="preserve">: </w:t>
      </w:r>
      <w:r w:rsidR="00CA06DE">
        <w:rPr>
          <w:rFonts w:ascii="Calibri" w:hAnsi="Calibri" w:cs="Calibri"/>
          <w:szCs w:val="22"/>
        </w:rPr>
        <w:t>A</w:t>
      </w:r>
      <w:r w:rsidRPr="00CA06DE">
        <w:rPr>
          <w:rFonts w:ascii="Calibri" w:hAnsi="Calibri" w:cs="Calibri"/>
          <w:szCs w:val="22"/>
        </w:rPr>
        <w:t xml:space="preserve"> natural or legal person, public authority, agency or other body which processes personal data on behalf of the Controller.</w:t>
      </w:r>
    </w:p>
    <w:p w14:paraId="27CA451E" w14:textId="77777777" w:rsidR="00324144" w:rsidRPr="00CA06DE" w:rsidRDefault="00324144" w:rsidP="00324144">
      <w:pPr>
        <w:pStyle w:val="DefinedTermPara"/>
        <w:numPr>
          <w:ilvl w:val="0"/>
          <w:numId w:val="25"/>
        </w:numPr>
        <w:rPr>
          <w:rFonts w:ascii="Calibri" w:hAnsi="Calibri" w:cs="Calibri"/>
          <w:szCs w:val="22"/>
        </w:rPr>
      </w:pPr>
      <w:r w:rsidRPr="00CA06DE">
        <w:rPr>
          <w:rFonts w:ascii="Calibri" w:hAnsi="Calibri" w:cs="Calibri"/>
          <w:b/>
          <w:bCs/>
          <w:szCs w:val="22"/>
        </w:rPr>
        <w:t>Records</w:t>
      </w:r>
      <w:r w:rsidRPr="00CA06DE">
        <w:rPr>
          <w:rFonts w:ascii="Calibri" w:hAnsi="Calibri" w:cs="Calibri"/>
          <w:szCs w:val="22"/>
        </w:rPr>
        <w:t xml:space="preserve">: </w:t>
      </w:r>
      <w:r w:rsidR="00CA06DE">
        <w:rPr>
          <w:rFonts w:ascii="Calibri" w:hAnsi="Calibri" w:cs="Calibri"/>
          <w:szCs w:val="22"/>
        </w:rPr>
        <w:t>H</w:t>
      </w:r>
      <w:r w:rsidRPr="00CA06DE">
        <w:rPr>
          <w:rFonts w:ascii="Calibri" w:hAnsi="Calibri" w:cs="Calibri"/>
          <w:szCs w:val="22"/>
        </w:rPr>
        <w:t>as the meaning given to it in Clause 12.</w:t>
      </w:r>
    </w:p>
    <w:p w14:paraId="15CA49BF" w14:textId="77777777" w:rsidR="00324144" w:rsidRPr="00CA06DE" w:rsidRDefault="00324144" w:rsidP="00324144">
      <w:pPr>
        <w:pStyle w:val="DefinedTermPara"/>
        <w:numPr>
          <w:ilvl w:val="0"/>
          <w:numId w:val="25"/>
        </w:numPr>
        <w:rPr>
          <w:rFonts w:ascii="Calibri" w:hAnsi="Calibri" w:cs="Calibri"/>
          <w:szCs w:val="22"/>
        </w:rPr>
      </w:pPr>
      <w:r w:rsidRPr="00CA06DE">
        <w:rPr>
          <w:rFonts w:ascii="Calibri" w:hAnsi="Calibri" w:cs="Calibri"/>
          <w:b/>
          <w:bCs/>
          <w:szCs w:val="22"/>
        </w:rPr>
        <w:t>Term</w:t>
      </w:r>
      <w:r w:rsidRPr="00CA06DE">
        <w:rPr>
          <w:rFonts w:ascii="Calibri" w:hAnsi="Calibri" w:cs="Calibri"/>
          <w:szCs w:val="22"/>
        </w:rPr>
        <w:t xml:space="preserve">: </w:t>
      </w:r>
      <w:r w:rsidR="00CA06DE">
        <w:rPr>
          <w:rFonts w:ascii="Calibri" w:hAnsi="Calibri" w:cs="Calibri"/>
          <w:szCs w:val="22"/>
        </w:rPr>
        <w:t>T</w:t>
      </w:r>
      <w:r w:rsidRPr="00CA06DE">
        <w:rPr>
          <w:rFonts w:ascii="Calibri" w:hAnsi="Calibri" w:cs="Calibri"/>
          <w:szCs w:val="22"/>
        </w:rPr>
        <w:t>his Agreement's term as defined in Clause 10.</w:t>
      </w:r>
    </w:p>
    <w:p w14:paraId="0C7BE08F" w14:textId="77777777" w:rsidR="00324144" w:rsidRPr="00CA06DE" w:rsidRDefault="00324144" w:rsidP="00324144">
      <w:pPr>
        <w:pStyle w:val="DefinedTermPara"/>
        <w:numPr>
          <w:ilvl w:val="0"/>
          <w:numId w:val="25"/>
        </w:numPr>
        <w:rPr>
          <w:rFonts w:ascii="Calibri" w:hAnsi="Calibri" w:cs="Calibri"/>
          <w:b/>
          <w:bCs/>
          <w:szCs w:val="22"/>
        </w:rPr>
      </w:pPr>
      <w:r w:rsidRPr="00CA06DE">
        <w:rPr>
          <w:rFonts w:ascii="Calibri" w:hAnsi="Calibri" w:cs="Calibri"/>
          <w:b/>
          <w:bCs/>
          <w:szCs w:val="22"/>
        </w:rPr>
        <w:t xml:space="preserve">UK GDPR: </w:t>
      </w:r>
      <w:r w:rsidR="00CA06DE">
        <w:rPr>
          <w:rFonts w:ascii="Calibri" w:hAnsi="Calibri" w:cs="Calibri"/>
          <w:szCs w:val="22"/>
        </w:rPr>
        <w:t>H</w:t>
      </w:r>
      <w:r w:rsidRPr="00CA06DE">
        <w:rPr>
          <w:rFonts w:ascii="Calibri" w:hAnsi="Calibri" w:cs="Calibri"/>
          <w:szCs w:val="22"/>
        </w:rPr>
        <w:t>as the meaning given to it in section 3(10) as supplemented by section 205(4) of the DPA 2018.</w:t>
      </w:r>
    </w:p>
    <w:p w14:paraId="07627BF5" w14:textId="77777777" w:rsidR="00324144" w:rsidRPr="00CA06DE" w:rsidRDefault="00324144" w:rsidP="00324144">
      <w:pPr>
        <w:pStyle w:val="Untitledsubclause1"/>
        <w:rPr>
          <w:rFonts w:ascii="Calibri" w:hAnsi="Calibri" w:cs="Calibri"/>
          <w:szCs w:val="22"/>
        </w:rPr>
      </w:pPr>
      <w:bookmarkStart w:id="12" w:name="a514097"/>
      <w:r w:rsidRPr="00CA06DE">
        <w:rPr>
          <w:rFonts w:ascii="Calibri" w:hAnsi="Calibri" w:cs="Calibri"/>
          <w:szCs w:val="22"/>
        </w:rPr>
        <w:t xml:space="preserve">This Agreement is subject to the terms of the </w:t>
      </w:r>
      <w:r w:rsidR="00CA06DE">
        <w:rPr>
          <w:rFonts w:ascii="Calibri" w:hAnsi="Calibri" w:cs="Calibri"/>
          <w:szCs w:val="22"/>
        </w:rPr>
        <w:t xml:space="preserve">Service </w:t>
      </w:r>
      <w:r w:rsidRPr="00CA06DE">
        <w:rPr>
          <w:rFonts w:ascii="Calibri" w:hAnsi="Calibri" w:cs="Calibri"/>
          <w:szCs w:val="22"/>
        </w:rPr>
        <w:t xml:space="preserve">Agreement and is incorporated into the </w:t>
      </w:r>
      <w:r w:rsidR="00CA06DE">
        <w:rPr>
          <w:rFonts w:ascii="Calibri" w:hAnsi="Calibri" w:cs="Calibri"/>
          <w:szCs w:val="22"/>
        </w:rPr>
        <w:t xml:space="preserve">Service </w:t>
      </w:r>
      <w:r w:rsidRPr="00CA06DE">
        <w:rPr>
          <w:rFonts w:ascii="Calibri" w:hAnsi="Calibri" w:cs="Calibri"/>
          <w:szCs w:val="22"/>
        </w:rPr>
        <w:t xml:space="preserve">Agreement. Interpretations and defined terms set forth in the </w:t>
      </w:r>
      <w:r w:rsidR="00CA06DE">
        <w:rPr>
          <w:rFonts w:ascii="Calibri" w:hAnsi="Calibri" w:cs="Calibri"/>
          <w:szCs w:val="22"/>
        </w:rPr>
        <w:t xml:space="preserve">Service </w:t>
      </w:r>
      <w:r w:rsidRPr="00CA06DE">
        <w:rPr>
          <w:rFonts w:ascii="Calibri" w:hAnsi="Calibri" w:cs="Calibri"/>
          <w:szCs w:val="22"/>
        </w:rPr>
        <w:t>Agreement apply to the interpretation of this Agreement.</w:t>
      </w:r>
      <w:bookmarkEnd w:id="12"/>
    </w:p>
    <w:p w14:paraId="683A2DB5" w14:textId="77777777" w:rsidR="00324144" w:rsidRPr="00CA06DE" w:rsidRDefault="00324144" w:rsidP="00324144">
      <w:pPr>
        <w:pStyle w:val="Untitledsubclause1"/>
        <w:rPr>
          <w:rFonts w:ascii="Calibri" w:hAnsi="Calibri" w:cs="Calibri"/>
          <w:szCs w:val="22"/>
        </w:rPr>
      </w:pPr>
      <w:bookmarkStart w:id="13" w:name="a603258"/>
      <w:r w:rsidRPr="00CA06DE">
        <w:rPr>
          <w:rFonts w:ascii="Calibri" w:hAnsi="Calibri" w:cs="Calibri"/>
          <w:szCs w:val="22"/>
        </w:rPr>
        <w:t xml:space="preserve">The Annexes form part of this Agreement and </w:t>
      </w:r>
      <w:r w:rsidR="002F180D" w:rsidRPr="004A23D1">
        <w:rPr>
          <w:rFonts w:ascii="Calibri" w:hAnsi="Calibri" w:cs="Calibri"/>
          <w:szCs w:val="22"/>
        </w:rPr>
        <w:t xml:space="preserve">shall </w:t>
      </w:r>
      <w:r w:rsidRPr="00CA06DE">
        <w:rPr>
          <w:rFonts w:ascii="Calibri" w:hAnsi="Calibri" w:cs="Calibri"/>
          <w:szCs w:val="22"/>
        </w:rPr>
        <w:t>have effect as if set out in full in the body of this Agreement. Any reference to this Agreement includes the Annexes.</w:t>
      </w:r>
      <w:bookmarkEnd w:id="13"/>
    </w:p>
    <w:p w14:paraId="1AF87271" w14:textId="77777777" w:rsidR="00324144" w:rsidRPr="00CA06DE" w:rsidRDefault="00324144" w:rsidP="00324144">
      <w:pPr>
        <w:pStyle w:val="TitleClause"/>
        <w:rPr>
          <w:rFonts w:ascii="Calibri" w:hAnsi="Calibri" w:cs="Calibri"/>
          <w:szCs w:val="22"/>
        </w:rPr>
      </w:pPr>
      <w:r w:rsidRPr="00CA06DE">
        <w:rPr>
          <w:rFonts w:ascii="Calibri" w:hAnsi="Calibri" w:cs="Calibri"/>
          <w:szCs w:val="22"/>
        </w:rPr>
        <w:fldChar w:fldCharType="begin"/>
      </w:r>
      <w:r w:rsidRPr="00CA06DE">
        <w:rPr>
          <w:rFonts w:ascii="Calibri" w:hAnsi="Calibri" w:cs="Calibri"/>
          <w:szCs w:val="22"/>
        </w:rPr>
        <w:instrText>TC "2. Personal data types and processing purposes" \l 1</w:instrText>
      </w:r>
      <w:r w:rsidRPr="00CA06DE">
        <w:rPr>
          <w:rFonts w:ascii="Calibri" w:hAnsi="Calibri" w:cs="Calibri"/>
          <w:szCs w:val="22"/>
        </w:rPr>
        <w:fldChar w:fldCharType="end"/>
      </w:r>
      <w:bookmarkStart w:id="14" w:name="a318124"/>
      <w:bookmarkStart w:id="15" w:name="_Toc256000001"/>
      <w:r w:rsidRPr="00CA06DE">
        <w:rPr>
          <w:rFonts w:ascii="Calibri" w:hAnsi="Calibri" w:cs="Calibri"/>
          <w:szCs w:val="22"/>
        </w:rPr>
        <w:t>Personal data types and processing purposes</w:t>
      </w:r>
      <w:bookmarkEnd w:id="14"/>
      <w:bookmarkEnd w:id="15"/>
    </w:p>
    <w:p w14:paraId="484B0BED" w14:textId="77777777" w:rsidR="00324144" w:rsidRPr="00CA06DE" w:rsidRDefault="00324144" w:rsidP="00324144">
      <w:pPr>
        <w:pStyle w:val="Untitledsubclause1"/>
        <w:rPr>
          <w:rFonts w:ascii="Calibri" w:hAnsi="Calibri" w:cs="Calibri"/>
          <w:szCs w:val="22"/>
        </w:rPr>
      </w:pPr>
      <w:bookmarkStart w:id="16" w:name="a394949"/>
      <w:r w:rsidRPr="00CA06DE">
        <w:rPr>
          <w:rFonts w:ascii="Calibri" w:hAnsi="Calibri" w:cs="Calibri"/>
          <w:szCs w:val="22"/>
        </w:rPr>
        <w:t>The Customer and the Provider agree and acknowledge that for the purpose of the Data Protection Legislation:</w:t>
      </w:r>
      <w:bookmarkEnd w:id="16"/>
    </w:p>
    <w:p w14:paraId="021569C1" w14:textId="77777777" w:rsidR="00324144" w:rsidRPr="00CA06DE" w:rsidRDefault="00324144" w:rsidP="00324144">
      <w:pPr>
        <w:pStyle w:val="Untitledsubclause2"/>
        <w:rPr>
          <w:rFonts w:ascii="Calibri" w:hAnsi="Calibri" w:cs="Calibri"/>
          <w:szCs w:val="22"/>
        </w:rPr>
      </w:pPr>
      <w:bookmarkStart w:id="17" w:name="a310924"/>
      <w:r w:rsidRPr="00CA06DE">
        <w:rPr>
          <w:rFonts w:ascii="Calibri" w:hAnsi="Calibri" w:cs="Calibri"/>
          <w:szCs w:val="22"/>
        </w:rPr>
        <w:t>the Customer is the Controller and the Provider is the Processor.</w:t>
      </w:r>
      <w:bookmarkEnd w:id="17"/>
    </w:p>
    <w:p w14:paraId="0A86BEC0" w14:textId="77777777" w:rsidR="00324144" w:rsidRPr="00CA06DE" w:rsidRDefault="00324144" w:rsidP="00324144">
      <w:pPr>
        <w:pStyle w:val="Untitledsubclause2"/>
        <w:rPr>
          <w:rFonts w:ascii="Calibri" w:hAnsi="Calibri" w:cs="Calibri"/>
          <w:szCs w:val="22"/>
        </w:rPr>
      </w:pPr>
      <w:r w:rsidRPr="00CA06DE">
        <w:rPr>
          <w:rFonts w:ascii="Calibri" w:hAnsi="Calibri" w:cs="Calibri"/>
          <w:szCs w:val="22"/>
        </w:rPr>
        <w:lastRenderedPageBreak/>
        <w:fldChar w:fldCharType="begin"/>
      </w:r>
      <w:r w:rsidRPr="00CA06DE">
        <w:rPr>
          <w:rFonts w:ascii="Calibri" w:hAnsi="Calibri" w:cs="Calibri"/>
          <w:szCs w:val="22"/>
        </w:rPr>
        <w:instrText>PAGEREF a976303\# "''"  \h</w:instrText>
      </w:r>
      <w:r w:rsidRPr="00CA06DE">
        <w:rPr>
          <w:rFonts w:ascii="Calibri" w:hAnsi="Calibri" w:cs="Calibri"/>
          <w:szCs w:val="22"/>
        </w:rPr>
      </w:r>
      <w:r w:rsidRPr="00CA06DE">
        <w:rPr>
          <w:rFonts w:ascii="Calibri" w:hAnsi="Calibri" w:cs="Calibri"/>
          <w:szCs w:val="22"/>
        </w:rPr>
        <w:fldChar w:fldCharType="separate"/>
      </w:r>
      <w:r w:rsidRPr="00CA06DE">
        <w:rPr>
          <w:rFonts w:ascii="Calibri" w:hAnsi="Calibri" w:cs="Calibri"/>
          <w:szCs w:val="22"/>
        </w:rPr>
        <w:fldChar w:fldCharType="end"/>
      </w:r>
      <w:bookmarkStart w:id="18" w:name="a902103"/>
      <w:r w:rsidRPr="00CA06DE">
        <w:rPr>
          <w:rFonts w:ascii="Calibri" w:hAnsi="Calibri" w:cs="Calibri"/>
          <w:szCs w:val="22"/>
        </w:rPr>
        <w:fldChar w:fldCharType="begin"/>
      </w:r>
      <w:r w:rsidRPr="00CA06DE">
        <w:rPr>
          <w:rFonts w:ascii="Calibri" w:hAnsi="Calibri" w:cs="Calibri"/>
          <w:szCs w:val="22"/>
          <w:highlight w:val="lightGray"/>
        </w:rPr>
        <w:instrText>REF a976303 \h \w</w:instrText>
      </w:r>
      <w:r w:rsidRPr="00CA06DE">
        <w:rPr>
          <w:rFonts w:ascii="Calibri" w:hAnsi="Calibri" w:cs="Calibri"/>
          <w:szCs w:val="22"/>
        </w:rPr>
      </w:r>
      <w:r w:rsidR="0056439C" w:rsidRPr="00CA06DE">
        <w:rPr>
          <w:rFonts w:ascii="Calibri" w:hAnsi="Calibri" w:cs="Calibri"/>
          <w:szCs w:val="22"/>
        </w:rPr>
        <w:instrText xml:space="preserve"> \* MERGEFORMAT </w:instrText>
      </w:r>
      <w:r w:rsidRPr="00CA06DE">
        <w:rPr>
          <w:rFonts w:ascii="Calibri" w:hAnsi="Calibri" w:cs="Calibri"/>
          <w:szCs w:val="22"/>
        </w:rPr>
        <w:fldChar w:fldCharType="separate"/>
      </w:r>
      <w:r w:rsidRPr="00CA06DE">
        <w:rPr>
          <w:rFonts w:ascii="Calibri" w:hAnsi="Calibri" w:cs="Calibri"/>
          <w:szCs w:val="22"/>
        </w:rPr>
        <w:t>ANNEX A</w:t>
      </w:r>
      <w:r w:rsidRPr="00CA06DE">
        <w:rPr>
          <w:rFonts w:ascii="Calibri" w:hAnsi="Calibri" w:cs="Calibri"/>
          <w:szCs w:val="22"/>
        </w:rPr>
        <w:fldChar w:fldCharType="end"/>
      </w:r>
      <w:r w:rsidRPr="00CA06DE">
        <w:rPr>
          <w:rFonts w:ascii="Calibri" w:hAnsi="Calibri" w:cs="Calibri"/>
          <w:szCs w:val="22"/>
        </w:rPr>
        <w:t xml:space="preserve"> describes the subject matter, duration, nature and purpose of the processing and the Personal Data categories and Data Subject types in respect of which the Provider may process the Personal Data to fulfil the Business Purposes.</w:t>
      </w:r>
      <w:bookmarkEnd w:id="18"/>
    </w:p>
    <w:p w14:paraId="6E50709D" w14:textId="77777777" w:rsidR="00324144" w:rsidRPr="00CA06DE" w:rsidRDefault="00324144" w:rsidP="00324144">
      <w:pPr>
        <w:pStyle w:val="TitleClause"/>
        <w:rPr>
          <w:rFonts w:ascii="Calibri" w:hAnsi="Calibri" w:cs="Calibri"/>
          <w:szCs w:val="22"/>
        </w:rPr>
      </w:pPr>
      <w:r w:rsidRPr="00CA06DE">
        <w:rPr>
          <w:rFonts w:ascii="Calibri" w:hAnsi="Calibri" w:cs="Calibri"/>
          <w:szCs w:val="22"/>
        </w:rPr>
        <w:fldChar w:fldCharType="begin"/>
      </w:r>
      <w:r w:rsidRPr="00CA06DE">
        <w:rPr>
          <w:rFonts w:ascii="Calibri" w:hAnsi="Calibri" w:cs="Calibri"/>
          <w:szCs w:val="22"/>
        </w:rPr>
        <w:instrText>TC "3. Provider's obligations" \l 1</w:instrText>
      </w:r>
      <w:r w:rsidRPr="00CA06DE">
        <w:rPr>
          <w:rFonts w:ascii="Calibri" w:hAnsi="Calibri" w:cs="Calibri"/>
          <w:szCs w:val="22"/>
        </w:rPr>
        <w:fldChar w:fldCharType="end"/>
      </w:r>
      <w:bookmarkStart w:id="19" w:name="a836641"/>
      <w:bookmarkStart w:id="20" w:name="_Toc256000002"/>
      <w:r w:rsidRPr="00CA06DE">
        <w:rPr>
          <w:rFonts w:ascii="Calibri" w:hAnsi="Calibri" w:cs="Calibri"/>
          <w:szCs w:val="22"/>
        </w:rPr>
        <w:t>Provider's obligations</w:t>
      </w:r>
      <w:bookmarkEnd w:id="19"/>
      <w:bookmarkEnd w:id="20"/>
    </w:p>
    <w:p w14:paraId="1EFD35F5" w14:textId="77777777" w:rsidR="00324144" w:rsidRPr="00CA06DE" w:rsidRDefault="00324144" w:rsidP="00324144">
      <w:pPr>
        <w:pStyle w:val="Untitledsubclause1"/>
        <w:rPr>
          <w:rFonts w:ascii="Calibri" w:hAnsi="Calibri" w:cs="Calibri"/>
          <w:szCs w:val="22"/>
        </w:rPr>
      </w:pPr>
      <w:bookmarkStart w:id="21" w:name="a172518"/>
      <w:r w:rsidRPr="00CA06DE">
        <w:rPr>
          <w:rFonts w:ascii="Calibri" w:hAnsi="Calibri" w:cs="Calibri"/>
          <w:szCs w:val="22"/>
        </w:rPr>
        <w:t xml:space="preserve">The Provider </w:t>
      </w:r>
      <w:r w:rsidR="0056439C" w:rsidRPr="004A23D1">
        <w:rPr>
          <w:rFonts w:ascii="Calibri" w:hAnsi="Calibri" w:cs="Calibri"/>
          <w:szCs w:val="22"/>
        </w:rPr>
        <w:t xml:space="preserve">shall </w:t>
      </w:r>
      <w:r w:rsidRPr="00CA06DE">
        <w:rPr>
          <w:rFonts w:ascii="Calibri" w:hAnsi="Calibri" w:cs="Calibri"/>
          <w:szCs w:val="22"/>
        </w:rPr>
        <w:t xml:space="preserve">only process the Personal Data to the extent and in such a manner as is necessary for the Business Purposes in accordance with the Customer's written instructions. The Provider </w:t>
      </w:r>
      <w:r w:rsidR="0056439C" w:rsidRPr="004A23D1">
        <w:rPr>
          <w:rFonts w:ascii="Calibri" w:hAnsi="Calibri" w:cs="Calibri"/>
          <w:szCs w:val="22"/>
        </w:rPr>
        <w:t xml:space="preserve">shall </w:t>
      </w:r>
      <w:r w:rsidRPr="00CA06DE">
        <w:rPr>
          <w:rFonts w:ascii="Calibri" w:hAnsi="Calibri" w:cs="Calibri"/>
          <w:szCs w:val="22"/>
        </w:rPr>
        <w:t xml:space="preserve"> not process the Personal Data for any other purpose or in a way that does not comply with this Agreement or the Data Protection Legislation. The Provider </w:t>
      </w:r>
      <w:r w:rsidR="0056439C" w:rsidRPr="004A23D1">
        <w:rPr>
          <w:rFonts w:ascii="Calibri" w:hAnsi="Calibri" w:cs="Calibri"/>
          <w:szCs w:val="22"/>
        </w:rPr>
        <w:t xml:space="preserve">shall </w:t>
      </w:r>
      <w:r w:rsidR="0056439C" w:rsidRPr="00CA06DE">
        <w:rPr>
          <w:rFonts w:ascii="Calibri" w:hAnsi="Calibri" w:cs="Calibri"/>
          <w:szCs w:val="22"/>
        </w:rPr>
        <w:t xml:space="preserve"> </w:t>
      </w:r>
      <w:r w:rsidRPr="00CA06DE">
        <w:rPr>
          <w:rFonts w:ascii="Calibri" w:hAnsi="Calibri" w:cs="Calibri"/>
          <w:szCs w:val="22"/>
        </w:rPr>
        <w:t>notify the Customer if, in its opinion, the Customer's instructions do not comply with the Data Protection Legislation.</w:t>
      </w:r>
      <w:bookmarkEnd w:id="21"/>
    </w:p>
    <w:p w14:paraId="730BB72A" w14:textId="77777777" w:rsidR="00324144" w:rsidRPr="00CA06DE" w:rsidRDefault="00324144" w:rsidP="00324144">
      <w:pPr>
        <w:pStyle w:val="Untitledsubclause1"/>
        <w:rPr>
          <w:rFonts w:ascii="Calibri" w:hAnsi="Calibri" w:cs="Calibri"/>
          <w:szCs w:val="22"/>
        </w:rPr>
      </w:pPr>
      <w:bookmarkStart w:id="22" w:name="a541422"/>
      <w:r w:rsidRPr="00CA06DE">
        <w:rPr>
          <w:rFonts w:ascii="Calibri" w:hAnsi="Calibri" w:cs="Calibri"/>
          <w:szCs w:val="22"/>
        </w:rPr>
        <w:t xml:space="preserve">The Provider </w:t>
      </w:r>
      <w:r w:rsidR="0056439C" w:rsidRPr="004A23D1">
        <w:rPr>
          <w:rFonts w:ascii="Calibri" w:hAnsi="Calibri" w:cs="Calibri"/>
          <w:szCs w:val="22"/>
        </w:rPr>
        <w:t>shall</w:t>
      </w:r>
      <w:r w:rsidRPr="00CA06DE">
        <w:rPr>
          <w:rFonts w:ascii="Calibri" w:hAnsi="Calibri" w:cs="Calibri"/>
          <w:szCs w:val="22"/>
        </w:rPr>
        <w:t xml:space="preserve"> comply promptly with any Customer written instructions requiring the Provider to amend, transfer, delete or otherwise process the Personal Data</w:t>
      </w:r>
      <w:r w:rsidR="0056439C" w:rsidRPr="004A23D1">
        <w:rPr>
          <w:rFonts w:ascii="Calibri" w:hAnsi="Calibri" w:cs="Calibri"/>
          <w:szCs w:val="22"/>
        </w:rPr>
        <w:t xml:space="preserve"> </w:t>
      </w:r>
      <w:r w:rsidRPr="00CA06DE">
        <w:rPr>
          <w:rFonts w:ascii="Calibri" w:hAnsi="Calibri" w:cs="Calibri"/>
          <w:szCs w:val="22"/>
        </w:rPr>
        <w:t>or to stop, mitigate or remedy any unauthorised processing.</w:t>
      </w:r>
      <w:bookmarkEnd w:id="22"/>
    </w:p>
    <w:p w14:paraId="237ECB2F" w14:textId="77777777" w:rsidR="00324144" w:rsidRPr="00CA06DE" w:rsidRDefault="00324144" w:rsidP="00324144">
      <w:pPr>
        <w:pStyle w:val="Untitledsubclause1"/>
        <w:rPr>
          <w:rFonts w:ascii="Calibri" w:hAnsi="Calibri" w:cs="Calibri"/>
          <w:szCs w:val="22"/>
        </w:rPr>
      </w:pPr>
      <w:bookmarkStart w:id="23" w:name="a905957"/>
      <w:r w:rsidRPr="00CA06DE">
        <w:rPr>
          <w:rFonts w:ascii="Calibri" w:hAnsi="Calibri" w:cs="Calibri"/>
          <w:szCs w:val="22"/>
        </w:rPr>
        <w:t>The Provider</w:t>
      </w:r>
      <w:r w:rsidR="00A85134" w:rsidRPr="004A23D1">
        <w:rPr>
          <w:rFonts w:ascii="Calibri" w:hAnsi="Calibri" w:cs="Calibri"/>
          <w:szCs w:val="22"/>
        </w:rPr>
        <w:t xml:space="preserve"> shall </w:t>
      </w:r>
      <w:r w:rsidRPr="00CA06DE">
        <w:rPr>
          <w:rFonts w:ascii="Calibri" w:hAnsi="Calibri" w:cs="Calibri"/>
          <w:szCs w:val="22"/>
        </w:rPr>
        <w:t>maintain the confidentiality of the Personal Data and</w:t>
      </w:r>
      <w:r w:rsidR="002F180D" w:rsidRPr="004A23D1">
        <w:rPr>
          <w:rFonts w:ascii="Calibri" w:hAnsi="Calibri" w:cs="Calibri"/>
          <w:szCs w:val="22"/>
        </w:rPr>
        <w:t xml:space="preserve"> shall </w:t>
      </w:r>
      <w:r w:rsidRPr="00CA06DE">
        <w:rPr>
          <w:rFonts w:ascii="Calibri" w:hAnsi="Calibri" w:cs="Calibri"/>
          <w:szCs w:val="22"/>
        </w:rPr>
        <w:t xml:space="preserve">not disclose the Personal Data to </w:t>
      </w:r>
      <w:r w:rsidR="0056439C" w:rsidRPr="00CA06DE">
        <w:rPr>
          <w:rFonts w:ascii="Calibri" w:hAnsi="Calibri" w:cs="Calibri"/>
          <w:szCs w:val="22"/>
        </w:rPr>
        <w:t>third parties</w:t>
      </w:r>
      <w:r w:rsidRPr="00CA06DE">
        <w:rPr>
          <w:rFonts w:ascii="Calibri" w:hAnsi="Calibri" w:cs="Calibri"/>
          <w:szCs w:val="22"/>
        </w:rPr>
        <w:t xml:space="preserve"> unless </w:t>
      </w:r>
      <w:r w:rsidR="00A85134" w:rsidRPr="004A23D1">
        <w:rPr>
          <w:rFonts w:ascii="Calibri" w:hAnsi="Calibri" w:cs="Calibri"/>
          <w:szCs w:val="22"/>
        </w:rPr>
        <w:t xml:space="preserve">it is </w:t>
      </w:r>
      <w:r w:rsidRPr="00CA06DE">
        <w:rPr>
          <w:rFonts w:ascii="Calibri" w:hAnsi="Calibri" w:cs="Calibri"/>
          <w:szCs w:val="22"/>
        </w:rPr>
        <w:t xml:space="preserve">required by domestic or EU law, court or regulator including the Commissioner. If a domestic or EU law, court or regulator including the Commissioner requires the Provider to process or disclose the Personal Data to a third-party, the Provider </w:t>
      </w:r>
      <w:r w:rsidR="0056439C" w:rsidRPr="004A23D1">
        <w:rPr>
          <w:rFonts w:ascii="Calibri" w:hAnsi="Calibri" w:cs="Calibri"/>
          <w:szCs w:val="22"/>
        </w:rPr>
        <w:t xml:space="preserve">shall </w:t>
      </w:r>
      <w:r w:rsidRPr="00CA06DE">
        <w:rPr>
          <w:rFonts w:ascii="Calibri" w:hAnsi="Calibri" w:cs="Calibri"/>
          <w:szCs w:val="22"/>
        </w:rPr>
        <w:t>inform the Customer of such legal or regulatory requirement and give the Customer an opportunity to object or challenge the requirement unless the domestic or EU law prohibits the giving of such notice.</w:t>
      </w:r>
      <w:bookmarkEnd w:id="23"/>
    </w:p>
    <w:p w14:paraId="5245868A" w14:textId="77777777" w:rsidR="00324144" w:rsidRPr="00CA06DE" w:rsidRDefault="00324144" w:rsidP="00324144">
      <w:pPr>
        <w:pStyle w:val="Untitledsubclause1"/>
        <w:rPr>
          <w:rFonts w:ascii="Calibri" w:hAnsi="Calibri" w:cs="Calibri"/>
          <w:szCs w:val="22"/>
        </w:rPr>
      </w:pPr>
      <w:bookmarkStart w:id="24" w:name="a633651"/>
      <w:r w:rsidRPr="00CA06DE">
        <w:rPr>
          <w:rFonts w:ascii="Calibri" w:hAnsi="Calibri" w:cs="Calibri"/>
          <w:szCs w:val="22"/>
        </w:rPr>
        <w:t>The Provider</w:t>
      </w:r>
      <w:r w:rsidR="0056439C" w:rsidRPr="004A23D1">
        <w:rPr>
          <w:rFonts w:ascii="Calibri" w:hAnsi="Calibri" w:cs="Calibri"/>
          <w:szCs w:val="22"/>
        </w:rPr>
        <w:t xml:space="preserve"> shall</w:t>
      </w:r>
      <w:r w:rsidRPr="00CA06DE">
        <w:rPr>
          <w:rFonts w:ascii="Calibri" w:hAnsi="Calibri" w:cs="Calibri"/>
          <w:szCs w:val="22"/>
        </w:rPr>
        <w:t xml:space="preserve"> reasonably assist the Customer, with meeting the Customer's compliance obligations under the Data Protection Legislation taking into account the nature of the Provider's processing and the information available to the Provider, including in relation to Data Subject rights, data protection impact assessments and reporting to and consulting with the Commissioner or other relevant regulator</w:t>
      </w:r>
      <w:r w:rsidR="0056439C" w:rsidRPr="004A23D1">
        <w:rPr>
          <w:rFonts w:ascii="Calibri" w:hAnsi="Calibri" w:cs="Calibri"/>
          <w:szCs w:val="22"/>
        </w:rPr>
        <w:t xml:space="preserve"> </w:t>
      </w:r>
      <w:r w:rsidRPr="00CA06DE">
        <w:rPr>
          <w:rFonts w:ascii="Calibri" w:hAnsi="Calibri" w:cs="Calibri"/>
          <w:szCs w:val="22"/>
        </w:rPr>
        <w:t>under the Data Protection Legislation.</w:t>
      </w:r>
      <w:bookmarkEnd w:id="24"/>
    </w:p>
    <w:p w14:paraId="50474C60" w14:textId="77777777" w:rsidR="00324144" w:rsidRPr="00CA06DE" w:rsidRDefault="00324144" w:rsidP="00324144">
      <w:pPr>
        <w:pStyle w:val="Untitledsubclause1"/>
        <w:rPr>
          <w:rFonts w:ascii="Calibri" w:hAnsi="Calibri" w:cs="Calibri"/>
          <w:szCs w:val="22"/>
        </w:rPr>
      </w:pPr>
      <w:bookmarkStart w:id="25" w:name="a543411"/>
      <w:r w:rsidRPr="00CA06DE">
        <w:rPr>
          <w:rFonts w:ascii="Calibri" w:hAnsi="Calibri" w:cs="Calibri"/>
          <w:szCs w:val="22"/>
        </w:rPr>
        <w:t xml:space="preserve">The Provider </w:t>
      </w:r>
      <w:r w:rsidR="0056439C" w:rsidRPr="004A23D1">
        <w:rPr>
          <w:rFonts w:ascii="Calibri" w:hAnsi="Calibri" w:cs="Calibri"/>
          <w:szCs w:val="22"/>
        </w:rPr>
        <w:t>shall</w:t>
      </w:r>
      <w:r w:rsidRPr="00CA06DE">
        <w:rPr>
          <w:rFonts w:ascii="Calibri" w:hAnsi="Calibri" w:cs="Calibri"/>
          <w:szCs w:val="22"/>
        </w:rPr>
        <w:t xml:space="preserve"> notify the Customer promptly of any changes to the Data Protection Legislation that may reasonably be interpreted as adversely affecting the Provider's performance of the </w:t>
      </w:r>
      <w:r w:rsidR="0056439C" w:rsidRPr="004A23D1">
        <w:rPr>
          <w:rFonts w:ascii="Calibri" w:hAnsi="Calibri" w:cs="Calibri"/>
          <w:szCs w:val="22"/>
        </w:rPr>
        <w:t xml:space="preserve">Service </w:t>
      </w:r>
      <w:r w:rsidRPr="00CA06DE">
        <w:rPr>
          <w:rFonts w:ascii="Calibri" w:hAnsi="Calibri" w:cs="Calibri"/>
          <w:szCs w:val="22"/>
        </w:rPr>
        <w:t>Agreement or this Agreement.</w:t>
      </w:r>
      <w:bookmarkEnd w:id="25"/>
    </w:p>
    <w:p w14:paraId="5A49DC76" w14:textId="77777777" w:rsidR="00324144" w:rsidRPr="00CA06DE" w:rsidRDefault="00324144" w:rsidP="00324144">
      <w:pPr>
        <w:pStyle w:val="TitleClause"/>
        <w:rPr>
          <w:rFonts w:ascii="Calibri" w:hAnsi="Calibri" w:cs="Calibri"/>
          <w:szCs w:val="22"/>
        </w:rPr>
      </w:pPr>
      <w:r w:rsidRPr="00CA06DE">
        <w:rPr>
          <w:rFonts w:ascii="Calibri" w:hAnsi="Calibri" w:cs="Calibri"/>
          <w:szCs w:val="22"/>
        </w:rPr>
        <w:fldChar w:fldCharType="begin"/>
      </w:r>
      <w:r w:rsidRPr="00CA06DE">
        <w:rPr>
          <w:rFonts w:ascii="Calibri" w:hAnsi="Calibri" w:cs="Calibri"/>
          <w:szCs w:val="22"/>
        </w:rPr>
        <w:instrText>TC "4. Provider's employees" \l 1</w:instrText>
      </w:r>
      <w:r w:rsidRPr="00CA06DE">
        <w:rPr>
          <w:rFonts w:ascii="Calibri" w:hAnsi="Calibri" w:cs="Calibri"/>
          <w:szCs w:val="22"/>
        </w:rPr>
        <w:fldChar w:fldCharType="end"/>
      </w:r>
      <w:bookmarkStart w:id="26" w:name="a925521"/>
      <w:bookmarkStart w:id="27" w:name="_Toc256000003"/>
      <w:r w:rsidRPr="00CA06DE">
        <w:rPr>
          <w:rFonts w:ascii="Calibri" w:hAnsi="Calibri" w:cs="Calibri"/>
          <w:szCs w:val="22"/>
        </w:rPr>
        <w:t>Provider's employees</w:t>
      </w:r>
      <w:bookmarkEnd w:id="26"/>
      <w:bookmarkEnd w:id="27"/>
    </w:p>
    <w:p w14:paraId="5E9B6FAF" w14:textId="77777777" w:rsidR="00324144" w:rsidRPr="00CA06DE" w:rsidRDefault="00324144" w:rsidP="00324144">
      <w:pPr>
        <w:pStyle w:val="Untitledsubclause1"/>
        <w:rPr>
          <w:rFonts w:ascii="Calibri" w:hAnsi="Calibri" w:cs="Calibri"/>
          <w:szCs w:val="22"/>
        </w:rPr>
      </w:pPr>
      <w:bookmarkStart w:id="28" w:name="a259299"/>
      <w:r w:rsidRPr="00CA06DE">
        <w:rPr>
          <w:rFonts w:ascii="Calibri" w:hAnsi="Calibri" w:cs="Calibri"/>
          <w:szCs w:val="22"/>
        </w:rPr>
        <w:t xml:space="preserve">The Provider </w:t>
      </w:r>
      <w:r w:rsidR="0056439C" w:rsidRPr="004A23D1">
        <w:rPr>
          <w:rFonts w:ascii="Calibri" w:hAnsi="Calibri" w:cs="Calibri"/>
          <w:szCs w:val="22"/>
        </w:rPr>
        <w:t xml:space="preserve">shall </w:t>
      </w:r>
      <w:r w:rsidRPr="00CA06DE">
        <w:rPr>
          <w:rFonts w:ascii="Calibri" w:hAnsi="Calibri" w:cs="Calibri"/>
          <w:szCs w:val="22"/>
        </w:rPr>
        <w:t>ensure that all of its employees:</w:t>
      </w:r>
      <w:bookmarkEnd w:id="28"/>
    </w:p>
    <w:p w14:paraId="0C187E18" w14:textId="77777777" w:rsidR="00324144" w:rsidRPr="00CA06DE" w:rsidRDefault="00324144" w:rsidP="00324144">
      <w:pPr>
        <w:pStyle w:val="Untitledsubclause2"/>
        <w:rPr>
          <w:rFonts w:ascii="Calibri" w:hAnsi="Calibri" w:cs="Calibri"/>
          <w:szCs w:val="22"/>
        </w:rPr>
      </w:pPr>
      <w:bookmarkStart w:id="29" w:name="a468568"/>
      <w:r w:rsidRPr="00CA06DE">
        <w:rPr>
          <w:rFonts w:ascii="Calibri" w:hAnsi="Calibri" w:cs="Calibri"/>
          <w:szCs w:val="22"/>
        </w:rPr>
        <w:t>are informed of the confidential nature of the Personal Data and are bound by written confidentiality obligations and use restrictions in respect of the Personal Data;</w:t>
      </w:r>
      <w:bookmarkEnd w:id="29"/>
    </w:p>
    <w:p w14:paraId="22AA1951" w14:textId="77777777" w:rsidR="00324144" w:rsidRPr="00CA06DE" w:rsidRDefault="00324144" w:rsidP="00324144">
      <w:pPr>
        <w:pStyle w:val="Untitledsubclause2"/>
        <w:rPr>
          <w:rFonts w:ascii="Calibri" w:hAnsi="Calibri" w:cs="Calibri"/>
          <w:szCs w:val="22"/>
        </w:rPr>
      </w:pPr>
      <w:bookmarkStart w:id="30" w:name="a532529"/>
      <w:r w:rsidRPr="00CA06DE">
        <w:rPr>
          <w:rFonts w:ascii="Calibri" w:hAnsi="Calibri" w:cs="Calibri"/>
          <w:szCs w:val="22"/>
        </w:rPr>
        <w:t>are aware both of the Provider's duties and their personal duties and obligations under the Data Protection Legislation and this Agreement.</w:t>
      </w:r>
      <w:bookmarkEnd w:id="30"/>
    </w:p>
    <w:p w14:paraId="7299ED8C" w14:textId="77777777" w:rsidR="00324144" w:rsidRPr="00CA06DE" w:rsidRDefault="00324144" w:rsidP="00324144">
      <w:pPr>
        <w:pStyle w:val="TitleClause"/>
        <w:rPr>
          <w:rFonts w:ascii="Calibri" w:hAnsi="Calibri" w:cs="Calibri"/>
          <w:szCs w:val="22"/>
        </w:rPr>
      </w:pPr>
      <w:r w:rsidRPr="00CA06DE">
        <w:rPr>
          <w:rFonts w:ascii="Calibri" w:hAnsi="Calibri" w:cs="Calibri"/>
          <w:szCs w:val="22"/>
        </w:rPr>
        <w:lastRenderedPageBreak/>
        <w:fldChar w:fldCharType="begin"/>
      </w:r>
      <w:r w:rsidRPr="00CA06DE">
        <w:rPr>
          <w:rFonts w:ascii="Calibri" w:hAnsi="Calibri" w:cs="Calibri"/>
          <w:szCs w:val="22"/>
        </w:rPr>
        <w:instrText>TC "5. Security" \l 1</w:instrText>
      </w:r>
      <w:r w:rsidRPr="00CA06DE">
        <w:rPr>
          <w:rFonts w:ascii="Calibri" w:hAnsi="Calibri" w:cs="Calibri"/>
          <w:szCs w:val="22"/>
        </w:rPr>
        <w:fldChar w:fldCharType="end"/>
      </w:r>
      <w:bookmarkStart w:id="31" w:name="a334013"/>
      <w:bookmarkStart w:id="32" w:name="_Toc256000004"/>
      <w:r w:rsidRPr="00CA06DE">
        <w:rPr>
          <w:rFonts w:ascii="Calibri" w:hAnsi="Calibri" w:cs="Calibri"/>
          <w:szCs w:val="22"/>
        </w:rPr>
        <w:t>Security</w:t>
      </w:r>
      <w:bookmarkEnd w:id="31"/>
      <w:bookmarkEnd w:id="32"/>
    </w:p>
    <w:p w14:paraId="163B0BBF" w14:textId="77777777" w:rsidR="00324144" w:rsidRPr="00CA06DE" w:rsidRDefault="00324144" w:rsidP="00324144">
      <w:pPr>
        <w:pStyle w:val="Untitledsubclause1"/>
        <w:rPr>
          <w:rFonts w:ascii="Calibri" w:hAnsi="Calibri" w:cs="Calibri"/>
          <w:szCs w:val="22"/>
        </w:rPr>
      </w:pPr>
      <w:bookmarkStart w:id="33" w:name="a944762"/>
      <w:r w:rsidRPr="00CA06DE">
        <w:rPr>
          <w:rFonts w:ascii="Calibri" w:hAnsi="Calibri" w:cs="Calibri"/>
          <w:szCs w:val="22"/>
        </w:rPr>
        <w:t>The Provider</w:t>
      </w:r>
      <w:r w:rsidR="0056439C" w:rsidRPr="004A23D1">
        <w:rPr>
          <w:rFonts w:ascii="Calibri" w:hAnsi="Calibri" w:cs="Calibri"/>
          <w:szCs w:val="22"/>
        </w:rPr>
        <w:t xml:space="preserve"> shall</w:t>
      </w:r>
      <w:r w:rsidRPr="00CA06DE">
        <w:rPr>
          <w:rFonts w:ascii="Calibri" w:hAnsi="Calibri" w:cs="Calibri"/>
          <w:szCs w:val="22"/>
        </w:rPr>
        <w:t xml:space="preserve"> at all times implement appropriate technical and organisational measures against accidental, unauthorised or unlawful processing, access, copying, modification, reproduction, display or distribution of the Personal Data, and against accidental or unlawful loss, destruction, alteration, disclosure or damage of Personal Data including but not limited to the security measures set out in </w:t>
      </w:r>
      <w:r w:rsidRPr="00CA06DE">
        <w:rPr>
          <w:rFonts w:ascii="Calibri" w:hAnsi="Calibri" w:cs="Calibri"/>
          <w:szCs w:val="22"/>
        </w:rPr>
        <w:fldChar w:fldCharType="begin"/>
      </w:r>
      <w:r w:rsidRPr="00CA06DE">
        <w:rPr>
          <w:rFonts w:ascii="Calibri" w:hAnsi="Calibri" w:cs="Calibri"/>
          <w:szCs w:val="22"/>
        </w:rPr>
        <w:instrText>PAGEREF a981375\# "''"  \h</w:instrText>
      </w:r>
      <w:r w:rsidRPr="00CA06DE">
        <w:rPr>
          <w:rFonts w:ascii="Calibri" w:hAnsi="Calibri" w:cs="Calibri"/>
          <w:szCs w:val="22"/>
        </w:rPr>
      </w:r>
      <w:r w:rsidRPr="00CA06DE">
        <w:rPr>
          <w:rFonts w:ascii="Calibri" w:hAnsi="Calibri" w:cs="Calibri"/>
          <w:szCs w:val="22"/>
        </w:rPr>
        <w:fldChar w:fldCharType="separate"/>
      </w:r>
      <w:r w:rsidRPr="00CA06DE">
        <w:rPr>
          <w:rFonts w:ascii="Calibri" w:hAnsi="Calibri" w:cs="Calibri"/>
          <w:szCs w:val="22"/>
        </w:rPr>
        <w:fldChar w:fldCharType="end"/>
      </w:r>
      <w:r w:rsidRPr="00CA06DE">
        <w:rPr>
          <w:rFonts w:ascii="Calibri" w:hAnsi="Calibri" w:cs="Calibri"/>
          <w:szCs w:val="22"/>
        </w:rPr>
        <w:fldChar w:fldCharType="begin"/>
      </w:r>
      <w:r w:rsidRPr="00CA06DE">
        <w:rPr>
          <w:rFonts w:ascii="Calibri" w:hAnsi="Calibri" w:cs="Calibri"/>
          <w:szCs w:val="22"/>
          <w:highlight w:val="lightGray"/>
        </w:rPr>
        <w:instrText>REF a981375 \h \w</w:instrText>
      </w:r>
      <w:r w:rsidRPr="00CA06DE">
        <w:rPr>
          <w:rFonts w:ascii="Calibri" w:hAnsi="Calibri" w:cs="Calibri"/>
          <w:szCs w:val="22"/>
        </w:rPr>
      </w:r>
      <w:r w:rsidR="0056439C" w:rsidRPr="00CA06DE">
        <w:rPr>
          <w:rFonts w:ascii="Calibri" w:hAnsi="Calibri" w:cs="Calibri"/>
          <w:szCs w:val="22"/>
        </w:rPr>
        <w:instrText xml:space="preserve"> \* MERGEFORMAT </w:instrText>
      </w:r>
      <w:r w:rsidRPr="00CA06DE">
        <w:rPr>
          <w:rFonts w:ascii="Calibri" w:hAnsi="Calibri" w:cs="Calibri"/>
          <w:szCs w:val="22"/>
        </w:rPr>
        <w:fldChar w:fldCharType="separate"/>
      </w:r>
      <w:r w:rsidRPr="00CA06DE">
        <w:rPr>
          <w:rFonts w:ascii="Calibri" w:hAnsi="Calibri" w:cs="Calibri"/>
          <w:szCs w:val="22"/>
        </w:rPr>
        <w:t>ANNEX B</w:t>
      </w:r>
      <w:r w:rsidRPr="00CA06DE">
        <w:rPr>
          <w:rFonts w:ascii="Calibri" w:hAnsi="Calibri" w:cs="Calibri"/>
          <w:szCs w:val="22"/>
        </w:rPr>
        <w:fldChar w:fldCharType="end"/>
      </w:r>
      <w:r w:rsidRPr="00CA06DE">
        <w:rPr>
          <w:rFonts w:ascii="Calibri" w:hAnsi="Calibri" w:cs="Calibri"/>
          <w:szCs w:val="22"/>
        </w:rPr>
        <w:t xml:space="preserve">. </w:t>
      </w:r>
      <w:bookmarkEnd w:id="33"/>
    </w:p>
    <w:p w14:paraId="723E69D6" w14:textId="77777777" w:rsidR="00324144" w:rsidRPr="00CA06DE" w:rsidRDefault="00324144" w:rsidP="00324144">
      <w:pPr>
        <w:pStyle w:val="Untitledsubclause1"/>
        <w:rPr>
          <w:rFonts w:ascii="Calibri" w:hAnsi="Calibri" w:cs="Calibri"/>
          <w:szCs w:val="22"/>
        </w:rPr>
      </w:pPr>
      <w:bookmarkStart w:id="34" w:name="a952094"/>
      <w:r w:rsidRPr="00CA06DE">
        <w:rPr>
          <w:rFonts w:ascii="Calibri" w:hAnsi="Calibri" w:cs="Calibri"/>
          <w:szCs w:val="22"/>
        </w:rPr>
        <w:t xml:space="preserve">The Provider </w:t>
      </w:r>
      <w:r w:rsidR="00A85134" w:rsidRPr="004A23D1">
        <w:rPr>
          <w:rFonts w:ascii="Calibri" w:hAnsi="Calibri" w:cs="Calibri"/>
          <w:szCs w:val="22"/>
        </w:rPr>
        <w:t xml:space="preserve">shall </w:t>
      </w:r>
      <w:r w:rsidRPr="00CA06DE">
        <w:rPr>
          <w:rFonts w:ascii="Calibri" w:hAnsi="Calibri" w:cs="Calibri"/>
          <w:szCs w:val="22"/>
        </w:rPr>
        <w:t>implement such measures to ensure a level of security appropriate to the risk involved, including as appropriate:</w:t>
      </w:r>
      <w:bookmarkEnd w:id="34"/>
    </w:p>
    <w:p w14:paraId="5F6F3392" w14:textId="77777777" w:rsidR="00324144" w:rsidRPr="00CA06DE" w:rsidRDefault="00324144" w:rsidP="00324144">
      <w:pPr>
        <w:pStyle w:val="Untitledsubclause2"/>
        <w:rPr>
          <w:rFonts w:ascii="Calibri" w:hAnsi="Calibri" w:cs="Calibri"/>
          <w:szCs w:val="22"/>
        </w:rPr>
      </w:pPr>
      <w:bookmarkStart w:id="35" w:name="a586875"/>
      <w:r w:rsidRPr="00CA06DE">
        <w:rPr>
          <w:rFonts w:ascii="Calibri" w:hAnsi="Calibri" w:cs="Calibri"/>
          <w:szCs w:val="22"/>
        </w:rPr>
        <w:t>the pseudonymisation and encryption of personal data;</w:t>
      </w:r>
      <w:bookmarkEnd w:id="35"/>
    </w:p>
    <w:p w14:paraId="481A598E" w14:textId="77777777" w:rsidR="00324144" w:rsidRPr="00CA06DE" w:rsidRDefault="00324144" w:rsidP="00324144">
      <w:pPr>
        <w:pStyle w:val="Untitledsubclause2"/>
        <w:rPr>
          <w:rFonts w:ascii="Calibri" w:hAnsi="Calibri" w:cs="Calibri"/>
          <w:szCs w:val="22"/>
        </w:rPr>
      </w:pPr>
      <w:bookmarkStart w:id="36" w:name="a717355"/>
      <w:r w:rsidRPr="00CA06DE">
        <w:rPr>
          <w:rFonts w:ascii="Calibri" w:hAnsi="Calibri" w:cs="Calibri"/>
          <w:szCs w:val="22"/>
        </w:rPr>
        <w:t>the ability to ensure the ongoing confidentiality, integrity, availability and resilience of processing systems and services;</w:t>
      </w:r>
      <w:bookmarkEnd w:id="36"/>
    </w:p>
    <w:p w14:paraId="35EA7D8B" w14:textId="77777777" w:rsidR="00324144" w:rsidRPr="00CA06DE" w:rsidRDefault="00324144" w:rsidP="00324144">
      <w:pPr>
        <w:pStyle w:val="Untitledsubclause2"/>
        <w:rPr>
          <w:rFonts w:ascii="Calibri" w:hAnsi="Calibri" w:cs="Calibri"/>
          <w:szCs w:val="22"/>
        </w:rPr>
      </w:pPr>
      <w:bookmarkStart w:id="37" w:name="a307747"/>
      <w:r w:rsidRPr="00CA06DE">
        <w:rPr>
          <w:rFonts w:ascii="Calibri" w:hAnsi="Calibri" w:cs="Calibri"/>
          <w:szCs w:val="22"/>
        </w:rPr>
        <w:t>the ability to restore the availability and access to personal data in a timely manner in the event of a physical or technical incident; and</w:t>
      </w:r>
      <w:bookmarkEnd w:id="37"/>
    </w:p>
    <w:p w14:paraId="7FDF18FB" w14:textId="77777777" w:rsidR="00324144" w:rsidRPr="00CA06DE" w:rsidRDefault="00324144" w:rsidP="00324144">
      <w:pPr>
        <w:pStyle w:val="Untitledsubclause2"/>
        <w:rPr>
          <w:rFonts w:ascii="Calibri" w:hAnsi="Calibri" w:cs="Calibri"/>
          <w:szCs w:val="22"/>
        </w:rPr>
      </w:pPr>
      <w:bookmarkStart w:id="38" w:name="a689253"/>
      <w:r w:rsidRPr="00CA06DE">
        <w:rPr>
          <w:rFonts w:ascii="Calibri" w:hAnsi="Calibri" w:cs="Calibri"/>
          <w:szCs w:val="22"/>
        </w:rPr>
        <w:t>a process for regularly testing, assessing and evaluating the effectiveness of the security measures.</w:t>
      </w:r>
      <w:bookmarkEnd w:id="38"/>
    </w:p>
    <w:p w14:paraId="2CCE4D12" w14:textId="77777777" w:rsidR="00324144" w:rsidRPr="00CA06DE" w:rsidRDefault="00324144" w:rsidP="00324144">
      <w:pPr>
        <w:pStyle w:val="TitleClause"/>
        <w:rPr>
          <w:rFonts w:ascii="Calibri" w:hAnsi="Calibri" w:cs="Calibri"/>
          <w:szCs w:val="22"/>
        </w:rPr>
      </w:pPr>
      <w:r w:rsidRPr="00CA06DE">
        <w:rPr>
          <w:rFonts w:ascii="Calibri" w:hAnsi="Calibri" w:cs="Calibri"/>
          <w:szCs w:val="22"/>
        </w:rPr>
        <w:fldChar w:fldCharType="begin"/>
      </w:r>
      <w:r w:rsidRPr="00CA06DE">
        <w:rPr>
          <w:rFonts w:ascii="Calibri" w:hAnsi="Calibri" w:cs="Calibri"/>
          <w:szCs w:val="22"/>
        </w:rPr>
        <w:instrText>TC "6. Personal data breach" \l 1</w:instrText>
      </w:r>
      <w:r w:rsidRPr="00CA06DE">
        <w:rPr>
          <w:rFonts w:ascii="Calibri" w:hAnsi="Calibri" w:cs="Calibri"/>
          <w:szCs w:val="22"/>
        </w:rPr>
        <w:fldChar w:fldCharType="end"/>
      </w:r>
      <w:bookmarkStart w:id="39" w:name="a192400"/>
      <w:bookmarkStart w:id="40" w:name="_Toc256000005"/>
      <w:r w:rsidRPr="00CA06DE">
        <w:rPr>
          <w:rFonts w:ascii="Calibri" w:hAnsi="Calibri" w:cs="Calibri"/>
          <w:szCs w:val="22"/>
        </w:rPr>
        <w:t>Personal data breach</w:t>
      </w:r>
      <w:bookmarkEnd w:id="39"/>
      <w:bookmarkEnd w:id="40"/>
    </w:p>
    <w:p w14:paraId="016F76FF" w14:textId="77777777" w:rsidR="00324144" w:rsidRPr="00CA06DE" w:rsidRDefault="00324144" w:rsidP="00324144">
      <w:pPr>
        <w:pStyle w:val="Untitledsubclause1"/>
        <w:rPr>
          <w:rFonts w:ascii="Calibri" w:hAnsi="Calibri" w:cs="Calibri"/>
          <w:szCs w:val="22"/>
        </w:rPr>
      </w:pPr>
      <w:bookmarkStart w:id="41" w:name="a609506"/>
      <w:r w:rsidRPr="00CA06DE">
        <w:rPr>
          <w:rFonts w:ascii="Calibri" w:hAnsi="Calibri" w:cs="Calibri"/>
          <w:szCs w:val="22"/>
        </w:rPr>
        <w:t xml:space="preserve">The Provider </w:t>
      </w:r>
      <w:r w:rsidR="002F180D" w:rsidRPr="004A23D1">
        <w:rPr>
          <w:rFonts w:ascii="Calibri" w:hAnsi="Calibri" w:cs="Calibri"/>
          <w:szCs w:val="22"/>
        </w:rPr>
        <w:t>shall</w:t>
      </w:r>
      <w:r w:rsidRPr="00CA06DE">
        <w:rPr>
          <w:rFonts w:ascii="Calibri" w:hAnsi="Calibri" w:cs="Calibri"/>
          <w:szCs w:val="22"/>
        </w:rPr>
        <w:t xml:space="preserve"> </w:t>
      </w:r>
      <w:r w:rsidR="0069121A">
        <w:rPr>
          <w:rFonts w:ascii="Calibri" w:hAnsi="Calibri" w:cs="Calibri"/>
          <w:szCs w:val="22"/>
        </w:rPr>
        <w:t>without undue delay</w:t>
      </w:r>
      <w:r w:rsidR="00843D62" w:rsidRPr="00CA06DE">
        <w:rPr>
          <w:rFonts w:ascii="Calibri" w:hAnsi="Calibri" w:cs="Calibri"/>
          <w:szCs w:val="22"/>
        </w:rPr>
        <w:t xml:space="preserve"> </w:t>
      </w:r>
      <w:r w:rsidRPr="00CA06DE">
        <w:rPr>
          <w:rFonts w:ascii="Calibri" w:hAnsi="Calibri" w:cs="Calibri"/>
          <w:szCs w:val="22"/>
        </w:rPr>
        <w:t>notify the Customer in writing if it becomes aware of:</w:t>
      </w:r>
      <w:bookmarkEnd w:id="41"/>
    </w:p>
    <w:p w14:paraId="2C34C4BE" w14:textId="77777777" w:rsidR="00324144" w:rsidRPr="00CA06DE" w:rsidRDefault="00324144" w:rsidP="00324144">
      <w:pPr>
        <w:pStyle w:val="Untitledsubclause2"/>
        <w:rPr>
          <w:rFonts w:ascii="Calibri" w:hAnsi="Calibri" w:cs="Calibri"/>
          <w:szCs w:val="22"/>
        </w:rPr>
      </w:pPr>
      <w:bookmarkStart w:id="42" w:name="a499473"/>
      <w:r w:rsidRPr="00CA06DE">
        <w:rPr>
          <w:rFonts w:ascii="Calibri" w:hAnsi="Calibri" w:cs="Calibri"/>
          <w:szCs w:val="22"/>
        </w:rPr>
        <w:t xml:space="preserve">the loss, unintended destruction or damage, corruption, or unusability of part or all of the Personal Data. The Provider </w:t>
      </w:r>
      <w:r w:rsidR="002F180D" w:rsidRPr="004A23D1">
        <w:rPr>
          <w:rFonts w:ascii="Calibri" w:hAnsi="Calibri" w:cs="Calibri"/>
          <w:szCs w:val="22"/>
        </w:rPr>
        <w:t>shall</w:t>
      </w:r>
      <w:r w:rsidRPr="00CA06DE">
        <w:rPr>
          <w:rFonts w:ascii="Calibri" w:hAnsi="Calibri" w:cs="Calibri"/>
          <w:szCs w:val="22"/>
        </w:rPr>
        <w:t xml:space="preserve"> restore such Personal Data at its own expense as soon as possible.</w:t>
      </w:r>
      <w:bookmarkEnd w:id="42"/>
    </w:p>
    <w:p w14:paraId="7F6C7806" w14:textId="77777777" w:rsidR="00324144" w:rsidRPr="00CA06DE" w:rsidRDefault="00324144" w:rsidP="00324144">
      <w:pPr>
        <w:pStyle w:val="Untitledsubclause2"/>
        <w:rPr>
          <w:rFonts w:ascii="Calibri" w:hAnsi="Calibri" w:cs="Calibri"/>
          <w:szCs w:val="22"/>
        </w:rPr>
      </w:pPr>
      <w:bookmarkStart w:id="43" w:name="a288850"/>
      <w:r w:rsidRPr="00CA06DE">
        <w:rPr>
          <w:rFonts w:ascii="Calibri" w:hAnsi="Calibri" w:cs="Calibri"/>
          <w:szCs w:val="22"/>
        </w:rPr>
        <w:t>any accidental, unauthorised or unlawful processing of the Personal Data; or</w:t>
      </w:r>
      <w:bookmarkEnd w:id="43"/>
    </w:p>
    <w:p w14:paraId="7F458310" w14:textId="77777777" w:rsidR="00324144" w:rsidRPr="00CA06DE" w:rsidRDefault="00324144" w:rsidP="00324144">
      <w:pPr>
        <w:pStyle w:val="Untitledsubclause2"/>
        <w:rPr>
          <w:rFonts w:ascii="Calibri" w:hAnsi="Calibri" w:cs="Calibri"/>
          <w:szCs w:val="22"/>
        </w:rPr>
      </w:pPr>
      <w:bookmarkStart w:id="44" w:name="a205868"/>
      <w:r w:rsidRPr="00CA06DE">
        <w:rPr>
          <w:rFonts w:ascii="Calibri" w:hAnsi="Calibri" w:cs="Calibri"/>
          <w:szCs w:val="22"/>
        </w:rPr>
        <w:t>any Personal Data Breach.</w:t>
      </w:r>
      <w:bookmarkEnd w:id="44"/>
    </w:p>
    <w:p w14:paraId="28C1EF3B" w14:textId="77777777" w:rsidR="00324144" w:rsidRPr="00CA06DE" w:rsidRDefault="00843D62" w:rsidP="00324144">
      <w:pPr>
        <w:pStyle w:val="Untitledsubclause1"/>
        <w:rPr>
          <w:rFonts w:ascii="Calibri" w:hAnsi="Calibri" w:cs="Calibri"/>
          <w:szCs w:val="22"/>
        </w:rPr>
      </w:pPr>
      <w:bookmarkStart w:id="45" w:name="a366823"/>
      <w:r w:rsidRPr="00CA06DE">
        <w:rPr>
          <w:rFonts w:ascii="Calibri" w:hAnsi="Calibri" w:cs="Calibri"/>
          <w:szCs w:val="22"/>
        </w:rPr>
        <w:t>F</w:t>
      </w:r>
      <w:r w:rsidR="00324144" w:rsidRPr="00CA06DE">
        <w:rPr>
          <w:rFonts w:ascii="Calibri" w:hAnsi="Calibri" w:cs="Calibri"/>
          <w:szCs w:val="22"/>
        </w:rPr>
        <w:t xml:space="preserve">ollowing any accidental, unauthorised or unlawful Personal Data processing or Personal Data Breach, the parties </w:t>
      </w:r>
      <w:r w:rsidR="002F180D" w:rsidRPr="004A23D1">
        <w:rPr>
          <w:rFonts w:ascii="Calibri" w:hAnsi="Calibri" w:cs="Calibri"/>
          <w:szCs w:val="22"/>
        </w:rPr>
        <w:t xml:space="preserve">shall </w:t>
      </w:r>
      <w:r w:rsidR="00324144" w:rsidRPr="00CA06DE">
        <w:rPr>
          <w:rFonts w:ascii="Calibri" w:hAnsi="Calibri" w:cs="Calibri"/>
          <w:szCs w:val="22"/>
        </w:rPr>
        <w:t xml:space="preserve">co-ordinate with each other to investigate the matter. Further the Provider </w:t>
      </w:r>
      <w:r w:rsidR="002F180D" w:rsidRPr="004A23D1">
        <w:rPr>
          <w:rFonts w:ascii="Calibri" w:hAnsi="Calibri" w:cs="Calibri"/>
          <w:szCs w:val="22"/>
        </w:rPr>
        <w:t>shall</w:t>
      </w:r>
      <w:r w:rsidR="00324144" w:rsidRPr="00CA06DE">
        <w:rPr>
          <w:rFonts w:ascii="Calibri" w:hAnsi="Calibri" w:cs="Calibri"/>
          <w:szCs w:val="22"/>
        </w:rPr>
        <w:t xml:space="preserve"> reasonably co-operate with the Customer in the Customer's handling of the matter, including but not limited to:</w:t>
      </w:r>
      <w:bookmarkEnd w:id="45"/>
    </w:p>
    <w:p w14:paraId="33036BFF" w14:textId="77777777" w:rsidR="00324144" w:rsidRPr="00CA06DE" w:rsidRDefault="00324144" w:rsidP="00324144">
      <w:pPr>
        <w:pStyle w:val="Untitledsubclause2"/>
        <w:rPr>
          <w:rFonts w:ascii="Calibri" w:hAnsi="Calibri" w:cs="Calibri"/>
          <w:szCs w:val="22"/>
        </w:rPr>
      </w:pPr>
      <w:bookmarkStart w:id="46" w:name="a281304"/>
      <w:r w:rsidRPr="00CA06DE">
        <w:rPr>
          <w:rFonts w:ascii="Calibri" w:hAnsi="Calibri" w:cs="Calibri"/>
          <w:szCs w:val="22"/>
        </w:rPr>
        <w:t>assisting with any investigation;</w:t>
      </w:r>
      <w:bookmarkEnd w:id="46"/>
    </w:p>
    <w:p w14:paraId="2552ED01" w14:textId="77777777" w:rsidR="00324144" w:rsidRPr="00CA06DE" w:rsidRDefault="00324144" w:rsidP="00324144">
      <w:pPr>
        <w:pStyle w:val="Untitledsubclause2"/>
        <w:rPr>
          <w:rFonts w:ascii="Calibri" w:hAnsi="Calibri" w:cs="Calibri"/>
          <w:szCs w:val="22"/>
        </w:rPr>
      </w:pPr>
      <w:bookmarkStart w:id="47" w:name="a526998"/>
      <w:r w:rsidRPr="00CA06DE">
        <w:rPr>
          <w:rFonts w:ascii="Calibri" w:hAnsi="Calibri" w:cs="Calibri"/>
          <w:szCs w:val="22"/>
        </w:rPr>
        <w:t>providing the Customer with physical access to any facilities and operations affected;</w:t>
      </w:r>
      <w:bookmarkEnd w:id="47"/>
    </w:p>
    <w:p w14:paraId="795B1142" w14:textId="77777777" w:rsidR="00324144" w:rsidRPr="00CA06DE" w:rsidRDefault="00324144" w:rsidP="00324144">
      <w:pPr>
        <w:pStyle w:val="Untitledsubclause2"/>
        <w:rPr>
          <w:rFonts w:ascii="Calibri" w:hAnsi="Calibri" w:cs="Calibri"/>
          <w:szCs w:val="22"/>
        </w:rPr>
      </w:pPr>
      <w:bookmarkStart w:id="48" w:name="a867741"/>
      <w:r w:rsidRPr="00CA06DE">
        <w:rPr>
          <w:rFonts w:ascii="Calibri" w:hAnsi="Calibri" w:cs="Calibri"/>
          <w:szCs w:val="22"/>
        </w:rPr>
        <w:t>facilitating interviews with the Provider's employees, former employees and others involved in the matter including, but not limited to, its officers and directors;</w:t>
      </w:r>
      <w:bookmarkEnd w:id="48"/>
    </w:p>
    <w:p w14:paraId="35B1FF46" w14:textId="77777777" w:rsidR="00324144" w:rsidRPr="00CA06DE" w:rsidRDefault="00324144" w:rsidP="00324144">
      <w:pPr>
        <w:pStyle w:val="Untitledsubclause2"/>
        <w:rPr>
          <w:rFonts w:ascii="Calibri" w:hAnsi="Calibri" w:cs="Calibri"/>
          <w:szCs w:val="22"/>
        </w:rPr>
      </w:pPr>
      <w:bookmarkStart w:id="49" w:name="a167132"/>
      <w:r w:rsidRPr="00CA06DE">
        <w:rPr>
          <w:rFonts w:ascii="Calibri" w:hAnsi="Calibri" w:cs="Calibri"/>
          <w:szCs w:val="22"/>
        </w:rPr>
        <w:t>making available all relevant records, logs, files, data reporting and other materials required to comply with all Data Protection Legislation or as otherwise reasonably required by the Customer; and</w:t>
      </w:r>
      <w:bookmarkEnd w:id="49"/>
    </w:p>
    <w:p w14:paraId="089AE24C" w14:textId="77777777" w:rsidR="00324144" w:rsidRPr="00CA06DE" w:rsidRDefault="00324144" w:rsidP="00324144">
      <w:pPr>
        <w:pStyle w:val="Untitledsubclause2"/>
        <w:rPr>
          <w:rFonts w:ascii="Calibri" w:hAnsi="Calibri" w:cs="Calibri"/>
          <w:szCs w:val="22"/>
        </w:rPr>
      </w:pPr>
      <w:bookmarkStart w:id="50" w:name="a978638"/>
      <w:r w:rsidRPr="00CA06DE">
        <w:rPr>
          <w:rFonts w:ascii="Calibri" w:hAnsi="Calibri" w:cs="Calibri"/>
          <w:szCs w:val="22"/>
        </w:rPr>
        <w:lastRenderedPageBreak/>
        <w:t>taking reasonable and prompt steps to mitigate the effects and to minimise any damage resulting from the Personal Data Breach or accidental, unauthorised or unlawful Personal Data processing.</w:t>
      </w:r>
      <w:bookmarkEnd w:id="50"/>
    </w:p>
    <w:p w14:paraId="38E82420" w14:textId="77777777" w:rsidR="00324144" w:rsidRPr="00CA06DE" w:rsidRDefault="00324144" w:rsidP="00324144">
      <w:pPr>
        <w:pStyle w:val="Untitledsubclause1"/>
        <w:rPr>
          <w:rFonts w:ascii="Calibri" w:hAnsi="Calibri" w:cs="Calibri"/>
          <w:szCs w:val="22"/>
        </w:rPr>
      </w:pPr>
      <w:bookmarkStart w:id="51" w:name="a564304"/>
      <w:r w:rsidRPr="00CA06DE">
        <w:rPr>
          <w:rFonts w:ascii="Calibri" w:hAnsi="Calibri" w:cs="Calibri"/>
          <w:szCs w:val="22"/>
        </w:rPr>
        <w:t>The Provider agrees that the Customer has the sole right to determine:</w:t>
      </w:r>
      <w:bookmarkEnd w:id="51"/>
    </w:p>
    <w:p w14:paraId="3CBEA10A" w14:textId="77777777" w:rsidR="00324144" w:rsidRPr="00CA06DE" w:rsidRDefault="00324144" w:rsidP="00324144">
      <w:pPr>
        <w:pStyle w:val="Untitledsubclause2"/>
        <w:rPr>
          <w:rFonts w:ascii="Calibri" w:hAnsi="Calibri" w:cs="Calibri"/>
          <w:szCs w:val="22"/>
        </w:rPr>
      </w:pPr>
      <w:bookmarkStart w:id="52" w:name="a216537"/>
      <w:r w:rsidRPr="00CA06DE">
        <w:rPr>
          <w:rFonts w:ascii="Calibri" w:hAnsi="Calibri" w:cs="Calibri"/>
          <w:szCs w:val="22"/>
        </w:rPr>
        <w:t xml:space="preserve">whether to provide notice of the accidental, unauthorised or unlawful processing and/or </w:t>
      </w:r>
      <w:r w:rsidR="00A85134" w:rsidRPr="00CA06DE">
        <w:rPr>
          <w:rFonts w:ascii="Calibri" w:hAnsi="Calibri" w:cs="Calibri"/>
          <w:szCs w:val="22"/>
        </w:rPr>
        <w:t>the Personal</w:t>
      </w:r>
      <w:r w:rsidRPr="00CA06DE">
        <w:rPr>
          <w:rFonts w:ascii="Calibri" w:hAnsi="Calibri" w:cs="Calibri"/>
          <w:szCs w:val="22"/>
        </w:rPr>
        <w:t xml:space="preserve"> Data Breach to any Data Subjects, the Commissioner, other in-scope regulators, law enforcement agencies or others, as required by law or regulation or in the Customer's discretion including the contents and delivery method of the notice; and</w:t>
      </w:r>
      <w:bookmarkEnd w:id="52"/>
    </w:p>
    <w:p w14:paraId="7834C60F" w14:textId="77777777" w:rsidR="00324144" w:rsidRPr="00CA06DE" w:rsidRDefault="00324144" w:rsidP="00324144">
      <w:pPr>
        <w:pStyle w:val="Untitledsubclause2"/>
        <w:rPr>
          <w:rFonts w:ascii="Calibri" w:hAnsi="Calibri" w:cs="Calibri"/>
          <w:szCs w:val="22"/>
        </w:rPr>
      </w:pPr>
      <w:bookmarkStart w:id="53" w:name="a464022"/>
      <w:r w:rsidRPr="00CA06DE">
        <w:rPr>
          <w:rFonts w:ascii="Calibri" w:hAnsi="Calibri" w:cs="Calibri"/>
          <w:szCs w:val="22"/>
        </w:rPr>
        <w:t>whether to offer any type of remedy to affected Data Subjects including the nature and extent of such remedy.</w:t>
      </w:r>
      <w:bookmarkEnd w:id="53"/>
    </w:p>
    <w:p w14:paraId="1B9F2DF4" w14:textId="77777777" w:rsidR="00324144" w:rsidRPr="00CA06DE" w:rsidRDefault="00324144" w:rsidP="00324144">
      <w:pPr>
        <w:pStyle w:val="TitleClause"/>
        <w:rPr>
          <w:rFonts w:ascii="Calibri" w:hAnsi="Calibri" w:cs="Calibri"/>
          <w:szCs w:val="22"/>
        </w:rPr>
      </w:pPr>
      <w:r w:rsidRPr="00CA06DE">
        <w:rPr>
          <w:rFonts w:ascii="Calibri" w:hAnsi="Calibri" w:cs="Calibri"/>
          <w:szCs w:val="22"/>
        </w:rPr>
        <w:fldChar w:fldCharType="begin"/>
      </w:r>
      <w:r w:rsidRPr="00CA06DE">
        <w:rPr>
          <w:rFonts w:ascii="Calibri" w:hAnsi="Calibri" w:cs="Calibri"/>
          <w:szCs w:val="22"/>
        </w:rPr>
        <w:instrText>TC "7. Cross-border transfers of personal data" \l 1</w:instrText>
      </w:r>
      <w:r w:rsidRPr="00CA06DE">
        <w:rPr>
          <w:rFonts w:ascii="Calibri" w:hAnsi="Calibri" w:cs="Calibri"/>
          <w:szCs w:val="22"/>
        </w:rPr>
        <w:fldChar w:fldCharType="end"/>
      </w:r>
      <w:bookmarkStart w:id="54" w:name="a888626"/>
      <w:bookmarkStart w:id="55" w:name="_Toc256000006"/>
      <w:r w:rsidRPr="00CA06DE">
        <w:rPr>
          <w:rFonts w:ascii="Calibri" w:hAnsi="Calibri" w:cs="Calibri"/>
          <w:szCs w:val="22"/>
        </w:rPr>
        <w:t>Cross-border transfers of personal data</w:t>
      </w:r>
      <w:bookmarkEnd w:id="54"/>
      <w:bookmarkEnd w:id="55"/>
    </w:p>
    <w:p w14:paraId="44B2B0E6" w14:textId="77777777" w:rsidR="00324144" w:rsidRPr="00CA06DE" w:rsidRDefault="00324144" w:rsidP="00324144">
      <w:pPr>
        <w:pStyle w:val="Untitledsubclause1"/>
        <w:rPr>
          <w:rFonts w:ascii="Calibri" w:hAnsi="Calibri" w:cs="Calibri"/>
          <w:szCs w:val="22"/>
        </w:rPr>
      </w:pPr>
      <w:bookmarkStart w:id="56" w:name="a158410"/>
      <w:r w:rsidRPr="00CA06DE">
        <w:rPr>
          <w:rFonts w:ascii="Calibri" w:hAnsi="Calibri" w:cs="Calibri"/>
          <w:szCs w:val="22"/>
        </w:rPr>
        <w:t xml:space="preserve">The Provider </w:t>
      </w:r>
      <w:r w:rsidR="00A85134" w:rsidRPr="004A23D1">
        <w:rPr>
          <w:rFonts w:ascii="Calibri" w:hAnsi="Calibri" w:cs="Calibri"/>
          <w:szCs w:val="22"/>
        </w:rPr>
        <w:t xml:space="preserve">shall </w:t>
      </w:r>
      <w:r w:rsidRPr="00CA06DE">
        <w:rPr>
          <w:rFonts w:ascii="Calibri" w:hAnsi="Calibri" w:cs="Calibri"/>
          <w:szCs w:val="22"/>
        </w:rPr>
        <w:t>transfer or otherwise process the Personal Data outside the UK or the EEA</w:t>
      </w:r>
      <w:r w:rsidR="00A85134" w:rsidRPr="004A23D1">
        <w:rPr>
          <w:rFonts w:ascii="Calibri" w:hAnsi="Calibri" w:cs="Calibri"/>
          <w:szCs w:val="22"/>
        </w:rPr>
        <w:t xml:space="preserve"> </w:t>
      </w:r>
      <w:r w:rsidR="0069121A">
        <w:rPr>
          <w:rFonts w:ascii="Calibri" w:hAnsi="Calibri" w:cs="Calibri"/>
          <w:szCs w:val="22"/>
        </w:rPr>
        <w:t xml:space="preserve">to a third country or international organisations </w:t>
      </w:r>
      <w:r w:rsidR="00A85134" w:rsidRPr="004A23D1">
        <w:rPr>
          <w:rFonts w:ascii="Calibri" w:hAnsi="Calibri" w:cs="Calibri"/>
          <w:szCs w:val="22"/>
        </w:rPr>
        <w:t>whe</w:t>
      </w:r>
      <w:r w:rsidR="0069121A">
        <w:rPr>
          <w:rFonts w:ascii="Calibri" w:hAnsi="Calibri" w:cs="Calibri"/>
          <w:szCs w:val="22"/>
        </w:rPr>
        <w:t xml:space="preserve">n </w:t>
      </w:r>
      <w:r w:rsidR="0069121A" w:rsidRPr="004A23D1">
        <w:rPr>
          <w:rFonts w:ascii="Calibri" w:hAnsi="Calibri" w:cs="Calibri"/>
          <w:szCs w:val="22"/>
        </w:rPr>
        <w:t>necessary,</w:t>
      </w:r>
      <w:r w:rsidR="00A85134" w:rsidRPr="004A23D1">
        <w:rPr>
          <w:rFonts w:ascii="Calibri" w:hAnsi="Calibri" w:cs="Calibri"/>
          <w:szCs w:val="22"/>
        </w:rPr>
        <w:t xml:space="preserve"> </w:t>
      </w:r>
      <w:r w:rsidRPr="00CA06DE">
        <w:rPr>
          <w:rFonts w:ascii="Calibri" w:hAnsi="Calibri" w:cs="Calibri"/>
          <w:szCs w:val="22"/>
        </w:rPr>
        <w:t>without obtaining the Customer's prior consent</w:t>
      </w:r>
      <w:bookmarkEnd w:id="56"/>
      <w:r w:rsidR="0069121A">
        <w:rPr>
          <w:rFonts w:ascii="Calibri" w:hAnsi="Calibri" w:cs="Calibri"/>
          <w:szCs w:val="22"/>
        </w:rPr>
        <w:t xml:space="preserve"> as long as adequate safeguards are in place in accordance with Article 45 and Article 46 of the UK GDPR or EU GDPR. </w:t>
      </w:r>
    </w:p>
    <w:p w14:paraId="1639376E" w14:textId="77777777" w:rsidR="0074789A" w:rsidRPr="00CA06DE" w:rsidRDefault="00324144" w:rsidP="00CA06DE">
      <w:pPr>
        <w:pStyle w:val="TitleClause"/>
        <w:rPr>
          <w:rFonts w:ascii="Calibri" w:hAnsi="Calibri" w:cs="Calibri"/>
          <w:szCs w:val="22"/>
        </w:rPr>
      </w:pPr>
      <w:r w:rsidRPr="00CA06DE">
        <w:rPr>
          <w:rFonts w:ascii="Calibri" w:hAnsi="Calibri" w:cs="Calibri"/>
          <w:szCs w:val="22"/>
        </w:rPr>
        <w:fldChar w:fldCharType="begin"/>
      </w:r>
      <w:r w:rsidRPr="00CA06DE">
        <w:rPr>
          <w:rFonts w:ascii="Calibri" w:hAnsi="Calibri" w:cs="Calibri"/>
          <w:szCs w:val="22"/>
        </w:rPr>
        <w:instrText>TC "8. Subcontractors" \l 1</w:instrText>
      </w:r>
      <w:r w:rsidRPr="00CA06DE">
        <w:rPr>
          <w:rFonts w:ascii="Calibri" w:hAnsi="Calibri" w:cs="Calibri"/>
          <w:szCs w:val="22"/>
        </w:rPr>
        <w:fldChar w:fldCharType="end"/>
      </w:r>
      <w:bookmarkStart w:id="57" w:name="a778490"/>
      <w:bookmarkStart w:id="58" w:name="_Toc256000007"/>
      <w:r w:rsidRPr="00CA06DE">
        <w:rPr>
          <w:rFonts w:ascii="Calibri" w:hAnsi="Calibri" w:cs="Calibri"/>
          <w:szCs w:val="22"/>
        </w:rPr>
        <w:t>Sub</w:t>
      </w:r>
      <w:bookmarkEnd w:id="57"/>
      <w:bookmarkEnd w:id="58"/>
      <w:r w:rsidR="0069121A">
        <w:rPr>
          <w:rFonts w:ascii="Calibri" w:hAnsi="Calibri" w:cs="Calibri"/>
          <w:szCs w:val="22"/>
        </w:rPr>
        <w:t xml:space="preserve">processors </w:t>
      </w:r>
    </w:p>
    <w:p w14:paraId="2C104291" w14:textId="77777777" w:rsidR="0074789A" w:rsidRPr="00CA06DE" w:rsidRDefault="00A85134" w:rsidP="00CA06DE">
      <w:pPr>
        <w:pStyle w:val="Untitledsubclause1"/>
        <w:numPr>
          <w:ilvl w:val="0"/>
          <w:numId w:val="0"/>
        </w:numPr>
        <w:ind w:left="720" w:hanging="720"/>
        <w:rPr>
          <w:rFonts w:ascii="Calibri" w:hAnsi="Calibri" w:cs="Calibri"/>
          <w:szCs w:val="22"/>
          <w:lang w:val="en-US"/>
        </w:rPr>
      </w:pPr>
      <w:bookmarkStart w:id="59" w:name="a634623"/>
      <w:r w:rsidRPr="004A23D1">
        <w:rPr>
          <w:rFonts w:ascii="Calibri" w:hAnsi="Calibri" w:cs="Calibri"/>
          <w:szCs w:val="22"/>
        </w:rPr>
        <w:t xml:space="preserve">8.1 </w:t>
      </w:r>
      <w:r w:rsidRPr="004A23D1">
        <w:rPr>
          <w:rFonts w:ascii="Calibri" w:hAnsi="Calibri" w:cs="Calibri"/>
          <w:szCs w:val="22"/>
        </w:rPr>
        <w:tab/>
      </w:r>
      <w:bookmarkEnd w:id="59"/>
      <w:r w:rsidR="0074789A" w:rsidRPr="00CA06DE">
        <w:rPr>
          <w:rFonts w:ascii="Calibri" w:hAnsi="Calibri" w:cs="Calibri"/>
          <w:szCs w:val="22"/>
          <w:lang w:val="en-US"/>
        </w:rPr>
        <w:t>The Provider has the Customer’s general authorisation for the engagement of subprocessor(s) from an agreed list. The Provider shall specifically inform the Customer in writing of any intended changes to that list through the addition or replacement of sub-processors at least 30 days in advance, thereby giving the Customer sufficient time to be able to object to such changes prior to the engagement of the subprocessor(s). The Provider shall provide the Customer with the information necessary to enable the Customer to exercise its right to object.</w:t>
      </w:r>
    </w:p>
    <w:p w14:paraId="06D672B8" w14:textId="77777777" w:rsidR="0074789A" w:rsidRPr="00CA06DE" w:rsidRDefault="0074789A" w:rsidP="00CA06DE">
      <w:pPr>
        <w:pStyle w:val="Untitledsubclause1"/>
        <w:numPr>
          <w:ilvl w:val="1"/>
          <w:numId w:val="51"/>
        </w:numPr>
        <w:rPr>
          <w:rFonts w:ascii="Calibri" w:hAnsi="Calibri" w:cs="Calibri"/>
          <w:szCs w:val="22"/>
          <w:lang w:val="en-US"/>
        </w:rPr>
      </w:pPr>
      <w:r w:rsidRPr="00CA06DE">
        <w:rPr>
          <w:rFonts w:ascii="Calibri" w:hAnsi="Calibri" w:cs="Calibri"/>
          <w:szCs w:val="22"/>
          <w:lang w:val="en-US"/>
        </w:rPr>
        <w:t>Where the Provider engages a sub-processor</w:t>
      </w:r>
      <w:r w:rsidR="0069121A">
        <w:rPr>
          <w:rFonts w:ascii="Calibri" w:hAnsi="Calibri" w:cs="Calibri"/>
          <w:szCs w:val="22"/>
          <w:lang w:val="en-US"/>
        </w:rPr>
        <w:t>(s)</w:t>
      </w:r>
      <w:r w:rsidRPr="00CA06DE">
        <w:rPr>
          <w:rFonts w:ascii="Calibri" w:hAnsi="Calibri" w:cs="Calibri"/>
          <w:szCs w:val="22"/>
          <w:lang w:val="en-US"/>
        </w:rPr>
        <w:t xml:space="preserve"> to carry out specific processing activities on behalf of the Customer it shall do so by way of a written contract that provides for in substance the same data protection obligations as those binding the Provider under these clauses including in terms of third-party beneficiary rights for data subjects.  </w:t>
      </w:r>
    </w:p>
    <w:p w14:paraId="6BFBBF9A" w14:textId="77777777" w:rsidR="0074789A" w:rsidRPr="00CA06DE" w:rsidRDefault="0074789A" w:rsidP="0074789A">
      <w:pPr>
        <w:pStyle w:val="Untitledsubclause1"/>
        <w:rPr>
          <w:rFonts w:ascii="Calibri" w:hAnsi="Calibri" w:cs="Calibri"/>
          <w:szCs w:val="22"/>
          <w:lang w:val="en-US"/>
        </w:rPr>
      </w:pPr>
      <w:r w:rsidRPr="00CA06DE">
        <w:rPr>
          <w:rFonts w:ascii="Calibri" w:hAnsi="Calibri" w:cs="Calibri"/>
          <w:szCs w:val="22"/>
          <w:lang w:val="en-US"/>
        </w:rPr>
        <w:t>The Provider shall remain fully responsible to the Customer for the performance of the sub-processor’s obligations under its contract with the Provider. The Provider shall notify the Customer of any failure by the sub-processor to fulfil its obligations under that contract.</w:t>
      </w:r>
    </w:p>
    <w:p w14:paraId="33F27114" w14:textId="77777777" w:rsidR="0074789A" w:rsidRPr="00CA06DE" w:rsidRDefault="0074789A" w:rsidP="0074789A">
      <w:pPr>
        <w:pStyle w:val="Untitledsubclause1"/>
        <w:rPr>
          <w:rFonts w:ascii="Calibri" w:hAnsi="Calibri" w:cs="Calibri"/>
          <w:szCs w:val="22"/>
          <w:lang w:val="en-US"/>
        </w:rPr>
      </w:pPr>
      <w:r w:rsidRPr="00CA06DE">
        <w:rPr>
          <w:rFonts w:ascii="Calibri" w:hAnsi="Calibri" w:cs="Calibri"/>
          <w:szCs w:val="22"/>
          <w:lang w:val="en-US"/>
        </w:rPr>
        <w:t>The Provider shall agree a third-party beneficiary clause with the subprocessor whereby – in the event the Provider has factually disappeared, ceased to exist in law or has become insolvent the Customer shall have the right to terminate the subprocessor contract and to instruct the sub-processor to erase or return the personal data.</w:t>
      </w:r>
    </w:p>
    <w:p w14:paraId="76E8E919" w14:textId="77777777" w:rsidR="00324144" w:rsidRPr="00CA06DE" w:rsidRDefault="00324144" w:rsidP="00324144">
      <w:pPr>
        <w:pStyle w:val="Untitledsubclause1"/>
        <w:rPr>
          <w:rFonts w:ascii="Calibri" w:hAnsi="Calibri" w:cs="Calibri"/>
          <w:szCs w:val="22"/>
        </w:rPr>
      </w:pPr>
      <w:bookmarkStart w:id="60" w:name="a852168"/>
      <w:r w:rsidRPr="00CA06DE">
        <w:rPr>
          <w:rFonts w:ascii="Calibri" w:hAnsi="Calibri" w:cs="Calibri"/>
          <w:szCs w:val="22"/>
        </w:rPr>
        <w:lastRenderedPageBreak/>
        <w:t>Those sub</w:t>
      </w:r>
      <w:r w:rsidR="0069121A">
        <w:rPr>
          <w:rFonts w:ascii="Calibri" w:hAnsi="Calibri" w:cs="Calibri"/>
          <w:szCs w:val="22"/>
        </w:rPr>
        <w:t>processor(s)</w:t>
      </w:r>
      <w:r w:rsidRPr="00CA06DE">
        <w:rPr>
          <w:rFonts w:ascii="Calibri" w:hAnsi="Calibri" w:cs="Calibri"/>
          <w:szCs w:val="22"/>
        </w:rPr>
        <w:t xml:space="preserve"> approved as at the commencement of this Agreement are as set out in </w:t>
      </w:r>
      <w:r w:rsidRPr="00CA06DE">
        <w:rPr>
          <w:rFonts w:ascii="Calibri" w:hAnsi="Calibri" w:cs="Calibri"/>
          <w:szCs w:val="22"/>
        </w:rPr>
        <w:fldChar w:fldCharType="begin"/>
      </w:r>
      <w:r w:rsidRPr="00CA06DE">
        <w:rPr>
          <w:rFonts w:ascii="Calibri" w:hAnsi="Calibri" w:cs="Calibri"/>
          <w:szCs w:val="22"/>
        </w:rPr>
        <w:instrText>PAGEREF a976303\# "''"  \h</w:instrText>
      </w:r>
      <w:r w:rsidRPr="00CA06DE">
        <w:rPr>
          <w:rFonts w:ascii="Calibri" w:hAnsi="Calibri" w:cs="Calibri"/>
          <w:szCs w:val="22"/>
        </w:rPr>
      </w:r>
      <w:r w:rsidRPr="00CA06DE">
        <w:rPr>
          <w:rFonts w:ascii="Calibri" w:hAnsi="Calibri" w:cs="Calibri"/>
          <w:szCs w:val="22"/>
        </w:rPr>
        <w:fldChar w:fldCharType="separate"/>
      </w:r>
      <w:r w:rsidRPr="00CA06DE">
        <w:rPr>
          <w:rFonts w:ascii="Calibri" w:hAnsi="Calibri" w:cs="Calibri"/>
          <w:szCs w:val="22"/>
        </w:rPr>
        <w:fldChar w:fldCharType="end"/>
      </w:r>
      <w:r w:rsidRPr="00CA06DE">
        <w:rPr>
          <w:rFonts w:ascii="Calibri" w:hAnsi="Calibri" w:cs="Calibri"/>
          <w:szCs w:val="22"/>
        </w:rPr>
        <w:fldChar w:fldCharType="begin"/>
      </w:r>
      <w:r w:rsidRPr="00CA06DE">
        <w:rPr>
          <w:rFonts w:ascii="Calibri" w:hAnsi="Calibri" w:cs="Calibri"/>
          <w:szCs w:val="22"/>
          <w:highlight w:val="lightGray"/>
        </w:rPr>
        <w:instrText>REF a976303 \h \w</w:instrText>
      </w:r>
      <w:r w:rsidRPr="00CA06DE">
        <w:rPr>
          <w:rFonts w:ascii="Calibri" w:hAnsi="Calibri" w:cs="Calibri"/>
          <w:szCs w:val="22"/>
        </w:rPr>
      </w:r>
      <w:r w:rsidR="0056439C" w:rsidRPr="00CA06DE">
        <w:rPr>
          <w:rFonts w:ascii="Calibri" w:hAnsi="Calibri" w:cs="Calibri"/>
          <w:szCs w:val="22"/>
        </w:rPr>
        <w:instrText xml:space="preserve"> \* MERGEFORMAT </w:instrText>
      </w:r>
      <w:r w:rsidRPr="00CA06DE">
        <w:rPr>
          <w:rFonts w:ascii="Calibri" w:hAnsi="Calibri" w:cs="Calibri"/>
          <w:szCs w:val="22"/>
        </w:rPr>
        <w:fldChar w:fldCharType="separate"/>
      </w:r>
      <w:r w:rsidRPr="00CA06DE">
        <w:rPr>
          <w:rFonts w:ascii="Calibri" w:hAnsi="Calibri" w:cs="Calibri"/>
          <w:szCs w:val="22"/>
        </w:rPr>
        <w:t>ANNEX A</w:t>
      </w:r>
      <w:r w:rsidRPr="00CA06DE">
        <w:rPr>
          <w:rFonts w:ascii="Calibri" w:hAnsi="Calibri" w:cs="Calibri"/>
          <w:szCs w:val="22"/>
        </w:rPr>
        <w:fldChar w:fldCharType="end"/>
      </w:r>
      <w:r w:rsidRPr="00CA06DE">
        <w:rPr>
          <w:rFonts w:ascii="Calibri" w:hAnsi="Calibri" w:cs="Calibri"/>
          <w:szCs w:val="22"/>
        </w:rPr>
        <w:t>. The Provide</w:t>
      </w:r>
      <w:r w:rsidR="00A85134" w:rsidRPr="004A23D1">
        <w:rPr>
          <w:rFonts w:ascii="Calibri" w:hAnsi="Calibri" w:cs="Calibri"/>
          <w:szCs w:val="22"/>
        </w:rPr>
        <w:t>r</w:t>
      </w:r>
      <w:r w:rsidRPr="00CA06DE">
        <w:rPr>
          <w:rFonts w:ascii="Calibri" w:hAnsi="Calibri" w:cs="Calibri"/>
          <w:szCs w:val="22"/>
        </w:rPr>
        <w:t xml:space="preserve"> list all approved </w:t>
      </w:r>
      <w:r w:rsidR="0069121A" w:rsidRPr="00CA06DE">
        <w:rPr>
          <w:rFonts w:ascii="Calibri" w:hAnsi="Calibri" w:cs="Calibri"/>
          <w:szCs w:val="22"/>
        </w:rPr>
        <w:t>subp</w:t>
      </w:r>
      <w:r w:rsidR="0069121A">
        <w:rPr>
          <w:rFonts w:ascii="Calibri" w:hAnsi="Calibri" w:cs="Calibri"/>
          <w:szCs w:val="22"/>
        </w:rPr>
        <w:t>rocessor(s)</w:t>
      </w:r>
      <w:r w:rsidRPr="00CA06DE">
        <w:rPr>
          <w:rFonts w:ascii="Calibri" w:hAnsi="Calibri" w:cs="Calibri"/>
          <w:szCs w:val="22"/>
        </w:rPr>
        <w:t xml:space="preserve"> in Annex A and include any sub</w:t>
      </w:r>
      <w:r w:rsidR="0069121A">
        <w:rPr>
          <w:rFonts w:ascii="Calibri" w:hAnsi="Calibri" w:cs="Calibri"/>
          <w:szCs w:val="22"/>
        </w:rPr>
        <w:t>processor’s</w:t>
      </w:r>
      <w:r w:rsidRPr="00CA06DE">
        <w:rPr>
          <w:rFonts w:ascii="Calibri" w:hAnsi="Calibri" w:cs="Calibri"/>
          <w:szCs w:val="22"/>
        </w:rPr>
        <w:t xml:space="preserve"> name and location</w:t>
      </w:r>
      <w:r w:rsidR="00A85134" w:rsidRPr="004A23D1">
        <w:rPr>
          <w:rFonts w:ascii="Calibri" w:hAnsi="Calibri" w:cs="Calibri"/>
          <w:szCs w:val="22"/>
        </w:rPr>
        <w:t>.</w:t>
      </w:r>
      <w:bookmarkEnd w:id="60"/>
    </w:p>
    <w:p w14:paraId="6043664E" w14:textId="77777777" w:rsidR="00324144" w:rsidRPr="00CA06DE" w:rsidRDefault="00324144" w:rsidP="00324144">
      <w:pPr>
        <w:pStyle w:val="TitleClause"/>
        <w:rPr>
          <w:rFonts w:ascii="Calibri" w:hAnsi="Calibri" w:cs="Calibri"/>
          <w:szCs w:val="22"/>
        </w:rPr>
      </w:pPr>
      <w:r w:rsidRPr="00CA06DE">
        <w:rPr>
          <w:rFonts w:ascii="Calibri" w:hAnsi="Calibri" w:cs="Calibri"/>
          <w:szCs w:val="22"/>
        </w:rPr>
        <w:fldChar w:fldCharType="begin"/>
      </w:r>
      <w:r w:rsidRPr="00CA06DE">
        <w:rPr>
          <w:rFonts w:ascii="Calibri" w:hAnsi="Calibri" w:cs="Calibri"/>
          <w:szCs w:val="22"/>
        </w:rPr>
        <w:instrText>TC "9. Complaints, data subject requests and third-party rights" \l 1</w:instrText>
      </w:r>
      <w:r w:rsidRPr="00CA06DE">
        <w:rPr>
          <w:rFonts w:ascii="Calibri" w:hAnsi="Calibri" w:cs="Calibri"/>
          <w:szCs w:val="22"/>
        </w:rPr>
        <w:fldChar w:fldCharType="end"/>
      </w:r>
      <w:bookmarkStart w:id="61" w:name="a557619"/>
      <w:bookmarkStart w:id="62" w:name="_Toc256000008"/>
      <w:r w:rsidRPr="00CA06DE">
        <w:rPr>
          <w:rFonts w:ascii="Calibri" w:hAnsi="Calibri" w:cs="Calibri"/>
          <w:szCs w:val="22"/>
        </w:rPr>
        <w:t>Complaints, data subject requests and third-party rights</w:t>
      </w:r>
      <w:bookmarkEnd w:id="61"/>
      <w:bookmarkEnd w:id="62"/>
    </w:p>
    <w:p w14:paraId="14B8B2DA" w14:textId="77777777" w:rsidR="00324144" w:rsidRPr="00CA06DE" w:rsidRDefault="00324144" w:rsidP="00324144">
      <w:pPr>
        <w:pStyle w:val="Untitledsubclause1"/>
        <w:rPr>
          <w:rFonts w:ascii="Calibri" w:hAnsi="Calibri" w:cs="Calibri"/>
          <w:szCs w:val="22"/>
        </w:rPr>
      </w:pPr>
      <w:bookmarkStart w:id="63" w:name="a327633"/>
      <w:r w:rsidRPr="00CA06DE">
        <w:rPr>
          <w:rFonts w:ascii="Calibri" w:hAnsi="Calibri" w:cs="Calibri"/>
          <w:szCs w:val="22"/>
        </w:rPr>
        <w:t xml:space="preserve">The Provider </w:t>
      </w:r>
      <w:r w:rsidR="0074789A" w:rsidRPr="00CA06DE">
        <w:rPr>
          <w:rFonts w:ascii="Calibri" w:hAnsi="Calibri" w:cs="Calibri"/>
          <w:szCs w:val="22"/>
        </w:rPr>
        <w:t xml:space="preserve">shall </w:t>
      </w:r>
      <w:r w:rsidRPr="00CA06DE">
        <w:rPr>
          <w:rFonts w:ascii="Calibri" w:hAnsi="Calibri" w:cs="Calibri"/>
          <w:szCs w:val="22"/>
        </w:rPr>
        <w:t>take such technical and organisational measures as may be appropriat</w:t>
      </w:r>
      <w:r w:rsidR="00A85134" w:rsidRPr="004A23D1">
        <w:rPr>
          <w:rFonts w:ascii="Calibri" w:hAnsi="Calibri" w:cs="Calibri"/>
          <w:szCs w:val="22"/>
        </w:rPr>
        <w:t>e</w:t>
      </w:r>
      <w:r w:rsidRPr="00CA06DE">
        <w:rPr>
          <w:rFonts w:ascii="Calibri" w:hAnsi="Calibri" w:cs="Calibri"/>
          <w:szCs w:val="22"/>
        </w:rPr>
        <w:t xml:space="preserve"> and promptly provide such information to the Customer as the Customer may reasonably require, to enable the Customer to comply with:</w:t>
      </w:r>
      <w:bookmarkEnd w:id="63"/>
    </w:p>
    <w:p w14:paraId="0CB219FC" w14:textId="77777777" w:rsidR="00324144" w:rsidRPr="00CA06DE" w:rsidRDefault="00324144" w:rsidP="00324144">
      <w:pPr>
        <w:pStyle w:val="Untitledsubclause2"/>
        <w:rPr>
          <w:rFonts w:ascii="Calibri" w:hAnsi="Calibri" w:cs="Calibri"/>
          <w:szCs w:val="22"/>
        </w:rPr>
      </w:pPr>
      <w:bookmarkStart w:id="64" w:name="a257198"/>
      <w:r w:rsidRPr="00CA06DE">
        <w:rPr>
          <w:rFonts w:ascii="Calibri" w:hAnsi="Calibri" w:cs="Calibri"/>
          <w:szCs w:val="22"/>
        </w:rPr>
        <w:t>the rights of Data Subjects under the Data Protection Legislation, including, but not limited to, subject access rights, the rights to rectify, port and erase personal data, object to the processing and automated processing of personal data, and restrict the processing of personal data; and</w:t>
      </w:r>
      <w:bookmarkEnd w:id="64"/>
    </w:p>
    <w:p w14:paraId="279B8249" w14:textId="77777777" w:rsidR="00324144" w:rsidRPr="00CA06DE" w:rsidRDefault="00324144" w:rsidP="00324144">
      <w:pPr>
        <w:pStyle w:val="Untitledsubclause2"/>
        <w:rPr>
          <w:rFonts w:ascii="Calibri" w:hAnsi="Calibri" w:cs="Calibri"/>
          <w:szCs w:val="22"/>
        </w:rPr>
      </w:pPr>
      <w:bookmarkStart w:id="65" w:name="a577431"/>
      <w:r w:rsidRPr="00CA06DE">
        <w:rPr>
          <w:rFonts w:ascii="Calibri" w:hAnsi="Calibri" w:cs="Calibri"/>
          <w:szCs w:val="22"/>
        </w:rPr>
        <w:t>information or assessment notices served on the Customer by the Commissioner or other relevant regulator under the Data Protection Legislation.</w:t>
      </w:r>
      <w:bookmarkEnd w:id="65"/>
    </w:p>
    <w:p w14:paraId="13E1E4AB" w14:textId="77777777" w:rsidR="00324144" w:rsidRPr="00CA06DE" w:rsidRDefault="00324144" w:rsidP="00324144">
      <w:pPr>
        <w:pStyle w:val="Untitledsubclause1"/>
        <w:rPr>
          <w:rFonts w:ascii="Calibri" w:hAnsi="Calibri" w:cs="Calibri"/>
          <w:szCs w:val="22"/>
        </w:rPr>
      </w:pPr>
      <w:bookmarkStart w:id="66" w:name="a351224"/>
      <w:r w:rsidRPr="00CA06DE">
        <w:rPr>
          <w:rFonts w:ascii="Calibri" w:hAnsi="Calibri" w:cs="Calibri"/>
          <w:szCs w:val="22"/>
        </w:rPr>
        <w:t xml:space="preserve">The Provider </w:t>
      </w:r>
      <w:r w:rsidR="0074789A" w:rsidRPr="00CA06DE">
        <w:rPr>
          <w:rFonts w:ascii="Calibri" w:hAnsi="Calibri" w:cs="Calibri"/>
          <w:szCs w:val="22"/>
        </w:rPr>
        <w:t>shall</w:t>
      </w:r>
      <w:r w:rsidRPr="00CA06DE">
        <w:rPr>
          <w:rFonts w:ascii="Calibri" w:hAnsi="Calibri" w:cs="Calibri"/>
          <w:szCs w:val="22"/>
        </w:rPr>
        <w:t xml:space="preserve"> notify the Customer immediately in writing if it receives any complaint, notice or communication that relates directly or indirectly to the processing of the Personal Data or to either party's compliance with the Data Protection Legislation.</w:t>
      </w:r>
      <w:bookmarkEnd w:id="66"/>
    </w:p>
    <w:p w14:paraId="5C0E25CC" w14:textId="77777777" w:rsidR="00324144" w:rsidRPr="00CA06DE" w:rsidRDefault="00324144" w:rsidP="00324144">
      <w:pPr>
        <w:pStyle w:val="Untitledsubclause1"/>
        <w:rPr>
          <w:rFonts w:ascii="Calibri" w:hAnsi="Calibri" w:cs="Calibri"/>
          <w:szCs w:val="22"/>
        </w:rPr>
      </w:pPr>
      <w:bookmarkStart w:id="67" w:name="a112635"/>
      <w:r w:rsidRPr="00CA06DE">
        <w:rPr>
          <w:rFonts w:ascii="Calibri" w:hAnsi="Calibri" w:cs="Calibri"/>
          <w:szCs w:val="22"/>
        </w:rPr>
        <w:t xml:space="preserve">The Provider </w:t>
      </w:r>
      <w:r w:rsidR="0074789A" w:rsidRPr="00CA06DE">
        <w:rPr>
          <w:rFonts w:ascii="Calibri" w:hAnsi="Calibri" w:cs="Calibri"/>
          <w:szCs w:val="22"/>
        </w:rPr>
        <w:t>shall</w:t>
      </w:r>
      <w:r w:rsidRPr="00CA06DE">
        <w:rPr>
          <w:rFonts w:ascii="Calibri" w:hAnsi="Calibri" w:cs="Calibri"/>
          <w:szCs w:val="22"/>
        </w:rPr>
        <w:t xml:space="preserve"> notify the Customer within </w:t>
      </w:r>
      <w:r w:rsidR="0074789A" w:rsidRPr="00CA06DE">
        <w:rPr>
          <w:rFonts w:ascii="Calibri" w:hAnsi="Calibri" w:cs="Calibri"/>
          <w:szCs w:val="22"/>
        </w:rPr>
        <w:t xml:space="preserve">5 </w:t>
      </w:r>
      <w:r w:rsidRPr="00CA06DE">
        <w:rPr>
          <w:rFonts w:ascii="Calibri" w:hAnsi="Calibri" w:cs="Calibri"/>
          <w:szCs w:val="22"/>
        </w:rPr>
        <w:t>days if it receives a request from a Data Subject for access to their Personal Data or to exercise any of their other rights under the Data Protection Legislation.</w:t>
      </w:r>
      <w:bookmarkEnd w:id="67"/>
    </w:p>
    <w:p w14:paraId="25CCED5C" w14:textId="77777777" w:rsidR="00324144" w:rsidRPr="00CA06DE" w:rsidRDefault="00324144" w:rsidP="00324144">
      <w:pPr>
        <w:pStyle w:val="Untitledsubclause1"/>
        <w:rPr>
          <w:rFonts w:ascii="Calibri" w:hAnsi="Calibri" w:cs="Calibri"/>
          <w:szCs w:val="22"/>
        </w:rPr>
      </w:pPr>
      <w:bookmarkStart w:id="68" w:name="a466270"/>
      <w:r w:rsidRPr="00CA06DE">
        <w:rPr>
          <w:rFonts w:ascii="Calibri" w:hAnsi="Calibri" w:cs="Calibri"/>
          <w:szCs w:val="22"/>
        </w:rPr>
        <w:t xml:space="preserve">The Provider </w:t>
      </w:r>
      <w:r w:rsidR="002F180D" w:rsidRPr="004A23D1">
        <w:rPr>
          <w:rFonts w:ascii="Calibri" w:hAnsi="Calibri" w:cs="Calibri"/>
          <w:szCs w:val="22"/>
        </w:rPr>
        <w:t xml:space="preserve">shall </w:t>
      </w:r>
      <w:r w:rsidRPr="00CA06DE">
        <w:rPr>
          <w:rFonts w:ascii="Calibri" w:hAnsi="Calibri" w:cs="Calibri"/>
          <w:szCs w:val="22"/>
        </w:rPr>
        <w:t>give the Customer</w:t>
      </w:r>
      <w:r w:rsidR="0074789A" w:rsidRPr="00CA06DE">
        <w:rPr>
          <w:rFonts w:ascii="Calibri" w:hAnsi="Calibri" w:cs="Calibri"/>
          <w:szCs w:val="22"/>
        </w:rPr>
        <w:t xml:space="preserve"> </w:t>
      </w:r>
      <w:r w:rsidRPr="00CA06DE">
        <w:rPr>
          <w:rFonts w:ascii="Calibri" w:hAnsi="Calibri" w:cs="Calibri"/>
          <w:szCs w:val="22"/>
        </w:rPr>
        <w:t>its full co-operation and assistance in responding to any complaint, notice, communication or Data Subject request.</w:t>
      </w:r>
      <w:bookmarkEnd w:id="68"/>
    </w:p>
    <w:p w14:paraId="41BAABA1" w14:textId="77777777" w:rsidR="00324144" w:rsidRPr="00CA06DE" w:rsidRDefault="00324144" w:rsidP="00324144">
      <w:pPr>
        <w:pStyle w:val="TitleClause"/>
        <w:rPr>
          <w:rFonts w:ascii="Calibri" w:hAnsi="Calibri" w:cs="Calibri"/>
          <w:szCs w:val="22"/>
        </w:rPr>
      </w:pPr>
      <w:r w:rsidRPr="00CA06DE">
        <w:rPr>
          <w:rFonts w:ascii="Calibri" w:hAnsi="Calibri" w:cs="Calibri"/>
          <w:szCs w:val="22"/>
        </w:rPr>
        <w:fldChar w:fldCharType="begin"/>
      </w:r>
      <w:r w:rsidRPr="00CA06DE">
        <w:rPr>
          <w:rFonts w:ascii="Calibri" w:hAnsi="Calibri" w:cs="Calibri"/>
          <w:szCs w:val="22"/>
        </w:rPr>
        <w:instrText>TC "10. Term and termination" \l 1</w:instrText>
      </w:r>
      <w:r w:rsidRPr="00CA06DE">
        <w:rPr>
          <w:rFonts w:ascii="Calibri" w:hAnsi="Calibri" w:cs="Calibri"/>
          <w:szCs w:val="22"/>
        </w:rPr>
        <w:fldChar w:fldCharType="end"/>
      </w:r>
      <w:bookmarkStart w:id="69" w:name="a966122"/>
      <w:bookmarkStart w:id="70" w:name="_Toc256000009"/>
      <w:r w:rsidRPr="00CA06DE">
        <w:rPr>
          <w:rFonts w:ascii="Calibri" w:hAnsi="Calibri" w:cs="Calibri"/>
          <w:szCs w:val="22"/>
        </w:rPr>
        <w:t>Term and termination</w:t>
      </w:r>
      <w:bookmarkEnd w:id="69"/>
      <w:bookmarkEnd w:id="70"/>
    </w:p>
    <w:p w14:paraId="315704B9" w14:textId="77777777" w:rsidR="00324144" w:rsidRPr="00CA06DE" w:rsidRDefault="00324144" w:rsidP="00324144">
      <w:pPr>
        <w:pStyle w:val="Untitledsubclause1"/>
        <w:rPr>
          <w:rFonts w:ascii="Calibri" w:hAnsi="Calibri" w:cs="Calibri"/>
          <w:szCs w:val="22"/>
        </w:rPr>
      </w:pPr>
      <w:bookmarkStart w:id="71" w:name="a843723"/>
      <w:r w:rsidRPr="00CA06DE">
        <w:rPr>
          <w:rFonts w:ascii="Calibri" w:hAnsi="Calibri" w:cs="Calibri"/>
          <w:szCs w:val="22"/>
        </w:rPr>
        <w:t xml:space="preserve">This Agreement </w:t>
      </w:r>
      <w:r w:rsidR="002F180D" w:rsidRPr="004A23D1">
        <w:rPr>
          <w:rFonts w:ascii="Calibri" w:hAnsi="Calibri" w:cs="Calibri"/>
          <w:szCs w:val="22"/>
        </w:rPr>
        <w:t>shall</w:t>
      </w:r>
      <w:r w:rsidRPr="00CA06DE">
        <w:rPr>
          <w:rFonts w:ascii="Calibri" w:hAnsi="Calibri" w:cs="Calibri"/>
          <w:szCs w:val="22"/>
        </w:rPr>
        <w:t xml:space="preserve"> remain in full force and effect so long as:</w:t>
      </w:r>
      <w:bookmarkEnd w:id="71"/>
    </w:p>
    <w:p w14:paraId="725D00C0" w14:textId="77777777" w:rsidR="00324144" w:rsidRPr="00CA06DE" w:rsidRDefault="00324144" w:rsidP="00324144">
      <w:pPr>
        <w:pStyle w:val="Untitledsubclause2"/>
        <w:rPr>
          <w:rFonts w:ascii="Calibri" w:hAnsi="Calibri" w:cs="Calibri"/>
          <w:szCs w:val="22"/>
        </w:rPr>
      </w:pPr>
      <w:bookmarkStart w:id="72" w:name="a718991"/>
      <w:r w:rsidRPr="00CA06DE">
        <w:rPr>
          <w:rFonts w:ascii="Calibri" w:hAnsi="Calibri" w:cs="Calibri"/>
          <w:szCs w:val="22"/>
        </w:rPr>
        <w:t xml:space="preserve">the </w:t>
      </w:r>
      <w:r w:rsidR="00CA06DE">
        <w:rPr>
          <w:rFonts w:ascii="Calibri" w:hAnsi="Calibri" w:cs="Calibri"/>
          <w:szCs w:val="22"/>
        </w:rPr>
        <w:t xml:space="preserve">Service </w:t>
      </w:r>
      <w:r w:rsidRPr="00CA06DE">
        <w:rPr>
          <w:rFonts w:ascii="Calibri" w:hAnsi="Calibri" w:cs="Calibri"/>
          <w:szCs w:val="22"/>
        </w:rPr>
        <w:t>Agreement remains in effect; or</w:t>
      </w:r>
      <w:bookmarkEnd w:id="72"/>
    </w:p>
    <w:p w14:paraId="74F2B3E4" w14:textId="77777777" w:rsidR="00324144" w:rsidRPr="00CA06DE" w:rsidRDefault="00324144" w:rsidP="00324144">
      <w:pPr>
        <w:pStyle w:val="Untitledsubclause2"/>
        <w:rPr>
          <w:rFonts w:ascii="Calibri" w:hAnsi="Calibri" w:cs="Calibri"/>
          <w:szCs w:val="22"/>
        </w:rPr>
      </w:pPr>
      <w:bookmarkStart w:id="73" w:name="a929751"/>
      <w:r w:rsidRPr="00CA06DE">
        <w:rPr>
          <w:rFonts w:ascii="Calibri" w:hAnsi="Calibri" w:cs="Calibri"/>
          <w:szCs w:val="22"/>
        </w:rPr>
        <w:t xml:space="preserve">the Provider retains any of the Personal Data related to the </w:t>
      </w:r>
      <w:r w:rsidR="00CA06DE">
        <w:rPr>
          <w:rFonts w:ascii="Calibri" w:hAnsi="Calibri" w:cs="Calibri"/>
          <w:szCs w:val="22"/>
        </w:rPr>
        <w:t xml:space="preserve">Service </w:t>
      </w:r>
      <w:r w:rsidRPr="00CA06DE">
        <w:rPr>
          <w:rFonts w:ascii="Calibri" w:hAnsi="Calibri" w:cs="Calibri"/>
          <w:szCs w:val="22"/>
        </w:rPr>
        <w:t>Agreement in its possession or control (</w:t>
      </w:r>
      <w:r w:rsidRPr="00CA06DE">
        <w:rPr>
          <w:rStyle w:val="DefTerm"/>
          <w:rFonts w:ascii="Calibri" w:hAnsi="Calibri" w:cs="Calibri"/>
          <w:b w:val="0"/>
          <w:szCs w:val="22"/>
        </w:rPr>
        <w:t>Term</w:t>
      </w:r>
      <w:r w:rsidRPr="00CA06DE">
        <w:rPr>
          <w:rFonts w:ascii="Calibri" w:hAnsi="Calibri" w:cs="Calibri"/>
          <w:szCs w:val="22"/>
        </w:rPr>
        <w:t>).</w:t>
      </w:r>
      <w:bookmarkEnd w:id="73"/>
    </w:p>
    <w:p w14:paraId="1DEC32A2" w14:textId="77777777" w:rsidR="00324144" w:rsidRPr="00CA06DE" w:rsidRDefault="00324144" w:rsidP="00324144">
      <w:pPr>
        <w:pStyle w:val="Untitledsubclause1"/>
        <w:rPr>
          <w:rFonts w:ascii="Calibri" w:hAnsi="Calibri" w:cs="Calibri"/>
          <w:szCs w:val="22"/>
        </w:rPr>
      </w:pPr>
      <w:bookmarkStart w:id="74" w:name="a990082"/>
      <w:r w:rsidRPr="00CA06DE">
        <w:rPr>
          <w:rFonts w:ascii="Calibri" w:hAnsi="Calibri" w:cs="Calibri"/>
          <w:szCs w:val="22"/>
        </w:rPr>
        <w:t xml:space="preserve">Any provision of this Agreement that expressly or by implication should come into or continue in force on or after termination of the </w:t>
      </w:r>
      <w:r w:rsidR="00CA06DE">
        <w:rPr>
          <w:rFonts w:ascii="Calibri" w:hAnsi="Calibri" w:cs="Calibri"/>
          <w:szCs w:val="22"/>
        </w:rPr>
        <w:t xml:space="preserve">Service </w:t>
      </w:r>
      <w:r w:rsidRPr="00CA06DE">
        <w:rPr>
          <w:rFonts w:ascii="Calibri" w:hAnsi="Calibri" w:cs="Calibri"/>
          <w:szCs w:val="22"/>
        </w:rPr>
        <w:t xml:space="preserve">Agreement in order to protect the Personal Data </w:t>
      </w:r>
      <w:r w:rsidR="002F180D" w:rsidRPr="004A23D1">
        <w:rPr>
          <w:rFonts w:ascii="Calibri" w:hAnsi="Calibri" w:cs="Calibri"/>
          <w:szCs w:val="22"/>
        </w:rPr>
        <w:t>shall</w:t>
      </w:r>
      <w:r w:rsidRPr="00CA06DE">
        <w:rPr>
          <w:rFonts w:ascii="Calibri" w:hAnsi="Calibri" w:cs="Calibri"/>
          <w:szCs w:val="22"/>
        </w:rPr>
        <w:t xml:space="preserve"> remain in full force and effect.</w:t>
      </w:r>
      <w:bookmarkEnd w:id="74"/>
    </w:p>
    <w:p w14:paraId="095F2D9F" w14:textId="77777777" w:rsidR="00324144" w:rsidRPr="00CA06DE" w:rsidRDefault="00324144" w:rsidP="00324144">
      <w:pPr>
        <w:pStyle w:val="Untitledsubclause1"/>
        <w:rPr>
          <w:rFonts w:ascii="Calibri" w:hAnsi="Calibri" w:cs="Calibri"/>
          <w:szCs w:val="22"/>
        </w:rPr>
      </w:pPr>
      <w:bookmarkStart w:id="75" w:name="a551095"/>
      <w:r w:rsidRPr="00CA06DE">
        <w:rPr>
          <w:rFonts w:ascii="Calibri" w:hAnsi="Calibri" w:cs="Calibri"/>
          <w:szCs w:val="22"/>
        </w:rPr>
        <w:t xml:space="preserve">If a change in any Data Protection Legislation prevents either party from fulfilling all or part of its </w:t>
      </w:r>
      <w:r w:rsidR="00CA06DE">
        <w:rPr>
          <w:rFonts w:ascii="Calibri" w:hAnsi="Calibri" w:cs="Calibri"/>
          <w:szCs w:val="22"/>
        </w:rPr>
        <w:t xml:space="preserve">Service </w:t>
      </w:r>
      <w:r w:rsidR="00CA06DE" w:rsidRPr="00CA06DE">
        <w:rPr>
          <w:rFonts w:ascii="Calibri" w:hAnsi="Calibri" w:cs="Calibri"/>
          <w:szCs w:val="22"/>
        </w:rPr>
        <w:t>Agreement</w:t>
      </w:r>
      <w:r w:rsidRPr="00CA06DE">
        <w:rPr>
          <w:rFonts w:ascii="Calibri" w:hAnsi="Calibri" w:cs="Calibri"/>
          <w:szCs w:val="22"/>
        </w:rPr>
        <w:t xml:space="preserve"> obligations, the parties may agree to suspend the processing of the Personal Data until that processing complies with the new requirements. If the parties are unable to bring the Personal Data processing into compliance with the Data Protection Legislation </w:t>
      </w:r>
      <w:r w:rsidR="0074789A" w:rsidRPr="00CA06DE">
        <w:rPr>
          <w:rFonts w:ascii="Calibri" w:hAnsi="Calibri" w:cs="Calibri"/>
          <w:szCs w:val="22"/>
        </w:rPr>
        <w:t xml:space="preserve">30 days </w:t>
      </w:r>
      <w:r w:rsidRPr="00CA06DE">
        <w:rPr>
          <w:rFonts w:ascii="Calibri" w:hAnsi="Calibri" w:cs="Calibri"/>
          <w:szCs w:val="22"/>
        </w:rPr>
        <w:t xml:space="preserve">either party may terminate the </w:t>
      </w:r>
      <w:r w:rsidR="00CA06DE">
        <w:rPr>
          <w:rFonts w:ascii="Calibri" w:hAnsi="Calibri" w:cs="Calibri"/>
          <w:szCs w:val="22"/>
        </w:rPr>
        <w:t xml:space="preserve">Service </w:t>
      </w:r>
      <w:r w:rsidRPr="00CA06DE">
        <w:rPr>
          <w:rFonts w:ascii="Calibri" w:hAnsi="Calibri" w:cs="Calibri"/>
          <w:szCs w:val="22"/>
        </w:rPr>
        <w:t>Agreement with immediate effect on written notice to the other party.</w:t>
      </w:r>
      <w:bookmarkEnd w:id="75"/>
    </w:p>
    <w:p w14:paraId="2365EC27" w14:textId="77777777" w:rsidR="00324144" w:rsidRPr="00CA06DE" w:rsidRDefault="00324144" w:rsidP="00324144">
      <w:pPr>
        <w:pStyle w:val="TitleClause"/>
        <w:rPr>
          <w:rFonts w:ascii="Calibri" w:hAnsi="Calibri" w:cs="Calibri"/>
          <w:szCs w:val="22"/>
        </w:rPr>
      </w:pPr>
      <w:r w:rsidRPr="00CA06DE">
        <w:rPr>
          <w:rFonts w:ascii="Calibri" w:hAnsi="Calibri" w:cs="Calibri"/>
          <w:szCs w:val="22"/>
        </w:rPr>
        <w:lastRenderedPageBreak/>
        <w:fldChar w:fldCharType="begin"/>
      </w:r>
      <w:r w:rsidRPr="00CA06DE">
        <w:rPr>
          <w:rFonts w:ascii="Calibri" w:hAnsi="Calibri" w:cs="Calibri"/>
          <w:szCs w:val="22"/>
        </w:rPr>
        <w:instrText>TC "11. Data return and destruction" \l 1</w:instrText>
      </w:r>
      <w:r w:rsidRPr="00CA06DE">
        <w:rPr>
          <w:rFonts w:ascii="Calibri" w:hAnsi="Calibri" w:cs="Calibri"/>
          <w:szCs w:val="22"/>
        </w:rPr>
        <w:fldChar w:fldCharType="end"/>
      </w:r>
      <w:bookmarkStart w:id="76" w:name="a720982"/>
      <w:bookmarkStart w:id="77" w:name="_Toc256000010"/>
      <w:r w:rsidRPr="00CA06DE">
        <w:rPr>
          <w:rFonts w:ascii="Calibri" w:hAnsi="Calibri" w:cs="Calibri"/>
          <w:szCs w:val="22"/>
        </w:rPr>
        <w:t>Data return and destruction</w:t>
      </w:r>
      <w:bookmarkEnd w:id="76"/>
      <w:bookmarkEnd w:id="77"/>
    </w:p>
    <w:p w14:paraId="18216146" w14:textId="77777777" w:rsidR="00324144" w:rsidRPr="00CA06DE" w:rsidRDefault="00324144" w:rsidP="00324144">
      <w:pPr>
        <w:pStyle w:val="Untitledsubclause1"/>
        <w:rPr>
          <w:rFonts w:ascii="Calibri" w:hAnsi="Calibri" w:cs="Calibri"/>
          <w:szCs w:val="22"/>
        </w:rPr>
      </w:pPr>
      <w:bookmarkStart w:id="78" w:name="a675601"/>
      <w:r w:rsidRPr="00CA06DE">
        <w:rPr>
          <w:rFonts w:ascii="Calibri" w:hAnsi="Calibri" w:cs="Calibri"/>
          <w:szCs w:val="22"/>
        </w:rPr>
        <w:t xml:space="preserve">On termination of the </w:t>
      </w:r>
      <w:r w:rsidR="00CA06DE">
        <w:rPr>
          <w:rFonts w:ascii="Calibri" w:hAnsi="Calibri" w:cs="Calibri"/>
          <w:szCs w:val="22"/>
        </w:rPr>
        <w:t xml:space="preserve">Service </w:t>
      </w:r>
      <w:r w:rsidRPr="00CA06DE">
        <w:rPr>
          <w:rFonts w:ascii="Calibri" w:hAnsi="Calibri" w:cs="Calibri"/>
          <w:szCs w:val="22"/>
        </w:rPr>
        <w:t xml:space="preserve">Agreement for any reason or expiry of its term the Provider </w:t>
      </w:r>
      <w:r w:rsidR="002F180D" w:rsidRPr="004A23D1">
        <w:rPr>
          <w:rFonts w:ascii="Calibri" w:hAnsi="Calibri" w:cs="Calibri"/>
          <w:szCs w:val="22"/>
        </w:rPr>
        <w:t xml:space="preserve">shall </w:t>
      </w:r>
      <w:r w:rsidRPr="00CA06DE">
        <w:rPr>
          <w:rFonts w:ascii="Calibri" w:hAnsi="Calibri" w:cs="Calibri"/>
          <w:szCs w:val="22"/>
        </w:rPr>
        <w:t>securely delete or destroy or if directed in writing by the Customer, return and not retain all or any of the Personal Data related to this Agreement in its possession or control</w:t>
      </w:r>
      <w:r w:rsidR="0074789A" w:rsidRPr="00CA06DE">
        <w:rPr>
          <w:rFonts w:ascii="Calibri" w:hAnsi="Calibri" w:cs="Calibri"/>
          <w:szCs w:val="22"/>
        </w:rPr>
        <w:t xml:space="preserve">. </w:t>
      </w:r>
      <w:bookmarkEnd w:id="78"/>
    </w:p>
    <w:p w14:paraId="539D6A62" w14:textId="77777777" w:rsidR="00324144" w:rsidRPr="00CA06DE" w:rsidRDefault="00324144" w:rsidP="00324144">
      <w:pPr>
        <w:pStyle w:val="Untitledsubclause1"/>
        <w:rPr>
          <w:rFonts w:ascii="Calibri" w:hAnsi="Calibri" w:cs="Calibri"/>
          <w:szCs w:val="22"/>
        </w:rPr>
      </w:pPr>
      <w:bookmarkStart w:id="79" w:name="a981655"/>
      <w:r w:rsidRPr="00CA06DE">
        <w:rPr>
          <w:rFonts w:ascii="Calibri" w:hAnsi="Calibri" w:cs="Calibri"/>
          <w:szCs w:val="22"/>
        </w:rPr>
        <w:t xml:space="preserve">If any law, regulation or government or regulatory body requires the Provider to retain any documents, materials or Personal Data that the Provider would otherwise be required to return or destroy, it </w:t>
      </w:r>
      <w:r w:rsidR="002F180D" w:rsidRPr="004A23D1">
        <w:rPr>
          <w:rFonts w:ascii="Calibri" w:hAnsi="Calibri" w:cs="Calibri"/>
          <w:szCs w:val="22"/>
        </w:rPr>
        <w:t>shall</w:t>
      </w:r>
      <w:r w:rsidRPr="00CA06DE">
        <w:rPr>
          <w:rFonts w:ascii="Calibri" w:hAnsi="Calibri" w:cs="Calibri"/>
          <w:szCs w:val="22"/>
        </w:rPr>
        <w:t xml:space="preserve"> notify the Customer in writing of that retention requirement, giving details of the documents, materials or Personal Data that it must retain, the legal basis for such retention and establishing a specific timeline for deletion or destruction once the retention requirement ends.</w:t>
      </w:r>
      <w:bookmarkEnd w:id="79"/>
    </w:p>
    <w:p w14:paraId="59071508" w14:textId="77777777" w:rsidR="00324144" w:rsidRPr="00CA06DE" w:rsidRDefault="00324144" w:rsidP="00324144">
      <w:pPr>
        <w:pStyle w:val="TitleClause"/>
        <w:rPr>
          <w:rFonts w:ascii="Calibri" w:hAnsi="Calibri" w:cs="Calibri"/>
          <w:szCs w:val="22"/>
        </w:rPr>
      </w:pPr>
      <w:r w:rsidRPr="00CA06DE">
        <w:rPr>
          <w:rFonts w:ascii="Calibri" w:hAnsi="Calibri" w:cs="Calibri"/>
          <w:szCs w:val="22"/>
        </w:rPr>
        <w:fldChar w:fldCharType="begin"/>
      </w:r>
      <w:r w:rsidRPr="00CA06DE">
        <w:rPr>
          <w:rFonts w:ascii="Calibri" w:hAnsi="Calibri" w:cs="Calibri"/>
          <w:szCs w:val="22"/>
        </w:rPr>
        <w:instrText>TC "12. Records" \l 1</w:instrText>
      </w:r>
      <w:r w:rsidRPr="00CA06DE">
        <w:rPr>
          <w:rFonts w:ascii="Calibri" w:hAnsi="Calibri" w:cs="Calibri"/>
          <w:szCs w:val="22"/>
        </w:rPr>
        <w:fldChar w:fldCharType="end"/>
      </w:r>
      <w:bookmarkStart w:id="80" w:name="a773333"/>
      <w:bookmarkStart w:id="81" w:name="_Toc256000011"/>
      <w:r w:rsidRPr="00CA06DE">
        <w:rPr>
          <w:rFonts w:ascii="Calibri" w:hAnsi="Calibri" w:cs="Calibri"/>
          <w:szCs w:val="22"/>
        </w:rPr>
        <w:t>Records</w:t>
      </w:r>
      <w:bookmarkEnd w:id="80"/>
      <w:bookmarkEnd w:id="81"/>
    </w:p>
    <w:p w14:paraId="7FBEAF2A" w14:textId="77777777" w:rsidR="00324144" w:rsidRPr="00CA06DE" w:rsidRDefault="00324144" w:rsidP="00324144">
      <w:pPr>
        <w:pStyle w:val="Untitledsubclause1"/>
        <w:rPr>
          <w:rFonts w:ascii="Calibri" w:hAnsi="Calibri" w:cs="Calibri"/>
          <w:szCs w:val="22"/>
        </w:rPr>
      </w:pPr>
      <w:bookmarkStart w:id="82" w:name="a761301"/>
      <w:r w:rsidRPr="00CA06DE">
        <w:rPr>
          <w:rFonts w:ascii="Calibri" w:hAnsi="Calibri" w:cs="Calibri"/>
          <w:szCs w:val="22"/>
        </w:rPr>
        <w:t>The Provider</w:t>
      </w:r>
      <w:r w:rsidR="00A85134" w:rsidRPr="004A23D1">
        <w:rPr>
          <w:rFonts w:ascii="Calibri" w:hAnsi="Calibri" w:cs="Calibri"/>
          <w:szCs w:val="22"/>
        </w:rPr>
        <w:t xml:space="preserve"> shall</w:t>
      </w:r>
      <w:r w:rsidRPr="00CA06DE">
        <w:rPr>
          <w:rFonts w:ascii="Calibri" w:hAnsi="Calibri" w:cs="Calibri"/>
          <w:szCs w:val="22"/>
        </w:rPr>
        <w:t xml:space="preserve"> keep written records regarding any processing of the Personal Data including but not limited to the access, control and security of the Personal Data, approved subcontractors, the processing purposes, categories of processing, and a general description of the technical and organisational security measures referred to in </w:t>
      </w:r>
      <w:r w:rsidRPr="00CA06DE">
        <w:rPr>
          <w:rFonts w:ascii="Calibri" w:hAnsi="Calibri" w:cs="Calibri"/>
          <w:szCs w:val="22"/>
        </w:rPr>
        <w:fldChar w:fldCharType="begin"/>
      </w:r>
      <w:r w:rsidRPr="00CA06DE">
        <w:rPr>
          <w:rFonts w:ascii="Calibri" w:hAnsi="Calibri" w:cs="Calibri"/>
          <w:szCs w:val="22"/>
        </w:rPr>
        <w:instrText>PAGEREF a944762\# "'Clause '"  \h</w:instrText>
      </w:r>
      <w:r w:rsidRPr="00CA06DE">
        <w:rPr>
          <w:rFonts w:ascii="Calibri" w:hAnsi="Calibri" w:cs="Calibri"/>
          <w:szCs w:val="22"/>
        </w:rPr>
      </w:r>
      <w:r w:rsidRPr="00CA06DE">
        <w:rPr>
          <w:rFonts w:ascii="Calibri" w:hAnsi="Calibri" w:cs="Calibri"/>
          <w:szCs w:val="22"/>
        </w:rPr>
        <w:fldChar w:fldCharType="separate"/>
      </w:r>
      <w:r w:rsidRPr="00CA06DE">
        <w:rPr>
          <w:rFonts w:ascii="Calibri" w:hAnsi="Calibri" w:cs="Calibri"/>
          <w:szCs w:val="22"/>
        </w:rPr>
        <w:t xml:space="preserve">Clause </w:t>
      </w:r>
      <w:r w:rsidRPr="00CA06DE">
        <w:rPr>
          <w:rFonts w:ascii="Calibri" w:hAnsi="Calibri" w:cs="Calibri"/>
          <w:szCs w:val="22"/>
        </w:rPr>
        <w:fldChar w:fldCharType="end"/>
      </w:r>
      <w:r w:rsidRPr="00CA06DE">
        <w:rPr>
          <w:rFonts w:ascii="Calibri" w:hAnsi="Calibri" w:cs="Calibri"/>
          <w:szCs w:val="22"/>
        </w:rPr>
        <w:fldChar w:fldCharType="begin"/>
      </w:r>
      <w:r w:rsidRPr="00CA06DE">
        <w:rPr>
          <w:rFonts w:ascii="Calibri" w:hAnsi="Calibri" w:cs="Calibri"/>
          <w:szCs w:val="22"/>
          <w:highlight w:val="lightGray"/>
        </w:rPr>
        <w:instrText>REF a944762 \h \w</w:instrText>
      </w:r>
      <w:r w:rsidRPr="00CA06DE">
        <w:rPr>
          <w:rFonts w:ascii="Calibri" w:hAnsi="Calibri" w:cs="Calibri"/>
          <w:szCs w:val="22"/>
        </w:rPr>
      </w:r>
      <w:r w:rsidR="0056439C" w:rsidRPr="00CA06DE">
        <w:rPr>
          <w:rFonts w:ascii="Calibri" w:hAnsi="Calibri" w:cs="Calibri"/>
          <w:szCs w:val="22"/>
        </w:rPr>
        <w:instrText xml:space="preserve"> \* MERGEFORMAT </w:instrText>
      </w:r>
      <w:r w:rsidRPr="00CA06DE">
        <w:rPr>
          <w:rFonts w:ascii="Calibri" w:hAnsi="Calibri" w:cs="Calibri"/>
          <w:szCs w:val="22"/>
        </w:rPr>
        <w:fldChar w:fldCharType="separate"/>
      </w:r>
      <w:r w:rsidRPr="00CA06DE">
        <w:rPr>
          <w:rFonts w:ascii="Calibri" w:hAnsi="Calibri" w:cs="Calibri"/>
          <w:szCs w:val="22"/>
        </w:rPr>
        <w:t>5.1</w:t>
      </w:r>
      <w:r w:rsidRPr="00CA06DE">
        <w:rPr>
          <w:rFonts w:ascii="Calibri" w:hAnsi="Calibri" w:cs="Calibri"/>
          <w:szCs w:val="22"/>
        </w:rPr>
        <w:fldChar w:fldCharType="end"/>
      </w:r>
      <w:r w:rsidRPr="00CA06DE">
        <w:rPr>
          <w:rFonts w:ascii="Calibri" w:hAnsi="Calibri" w:cs="Calibri"/>
          <w:szCs w:val="22"/>
        </w:rPr>
        <w:t xml:space="preserve"> (</w:t>
      </w:r>
      <w:r w:rsidRPr="00CA06DE">
        <w:rPr>
          <w:rStyle w:val="DefTerm"/>
          <w:rFonts w:ascii="Calibri" w:hAnsi="Calibri" w:cs="Calibri"/>
          <w:b w:val="0"/>
          <w:szCs w:val="22"/>
        </w:rPr>
        <w:t>Records</w:t>
      </w:r>
      <w:r w:rsidRPr="00CA06DE">
        <w:rPr>
          <w:rFonts w:ascii="Calibri" w:hAnsi="Calibri" w:cs="Calibri"/>
          <w:szCs w:val="22"/>
        </w:rPr>
        <w:t>).</w:t>
      </w:r>
      <w:bookmarkEnd w:id="82"/>
    </w:p>
    <w:p w14:paraId="5152E79A" w14:textId="77777777" w:rsidR="00324144" w:rsidRPr="00CA06DE" w:rsidRDefault="00324144" w:rsidP="00324144">
      <w:pPr>
        <w:pStyle w:val="TitleClause"/>
        <w:rPr>
          <w:rFonts w:ascii="Calibri" w:hAnsi="Calibri" w:cs="Calibri"/>
          <w:szCs w:val="22"/>
        </w:rPr>
      </w:pPr>
      <w:r w:rsidRPr="00CA06DE">
        <w:rPr>
          <w:rFonts w:ascii="Calibri" w:hAnsi="Calibri" w:cs="Calibri"/>
          <w:szCs w:val="22"/>
        </w:rPr>
        <w:fldChar w:fldCharType="begin"/>
      </w:r>
      <w:r w:rsidRPr="00CA06DE">
        <w:rPr>
          <w:rFonts w:ascii="Calibri" w:hAnsi="Calibri" w:cs="Calibri"/>
          <w:szCs w:val="22"/>
        </w:rPr>
        <w:instrText>TC "13. Audit" \l 1</w:instrText>
      </w:r>
      <w:r w:rsidRPr="00CA06DE">
        <w:rPr>
          <w:rFonts w:ascii="Calibri" w:hAnsi="Calibri" w:cs="Calibri"/>
          <w:szCs w:val="22"/>
        </w:rPr>
        <w:fldChar w:fldCharType="end"/>
      </w:r>
      <w:bookmarkStart w:id="83" w:name="a223407"/>
      <w:bookmarkStart w:id="84" w:name="_Toc256000012"/>
      <w:r w:rsidRPr="00CA06DE">
        <w:rPr>
          <w:rFonts w:ascii="Calibri" w:hAnsi="Calibri" w:cs="Calibri"/>
          <w:szCs w:val="22"/>
        </w:rPr>
        <w:t>Audit</w:t>
      </w:r>
      <w:bookmarkEnd w:id="83"/>
      <w:bookmarkEnd w:id="84"/>
    </w:p>
    <w:p w14:paraId="748BD6D5" w14:textId="77777777" w:rsidR="00324144" w:rsidRPr="00CA06DE" w:rsidRDefault="00324144" w:rsidP="00324144">
      <w:pPr>
        <w:pStyle w:val="Untitledsubclause1"/>
        <w:rPr>
          <w:rFonts w:ascii="Calibri" w:hAnsi="Calibri" w:cs="Calibri"/>
          <w:szCs w:val="22"/>
        </w:rPr>
      </w:pPr>
      <w:bookmarkStart w:id="85" w:name="a199236"/>
      <w:r w:rsidRPr="00CA06DE">
        <w:rPr>
          <w:rFonts w:ascii="Calibri" w:hAnsi="Calibri" w:cs="Calibri"/>
          <w:szCs w:val="22"/>
        </w:rPr>
        <w:t xml:space="preserve">The Provider </w:t>
      </w:r>
      <w:r w:rsidR="002F180D" w:rsidRPr="004A23D1">
        <w:rPr>
          <w:rFonts w:ascii="Calibri" w:hAnsi="Calibri" w:cs="Calibri"/>
          <w:szCs w:val="22"/>
        </w:rPr>
        <w:t>shall</w:t>
      </w:r>
      <w:r w:rsidRPr="00CA06DE">
        <w:rPr>
          <w:rFonts w:ascii="Calibri" w:hAnsi="Calibri" w:cs="Calibri"/>
          <w:szCs w:val="22"/>
        </w:rPr>
        <w:t xml:space="preserve"> permit the Customer and its third-party representatives to audit the Provider's compliance with its Agreement obligations, on at least </w:t>
      </w:r>
      <w:r w:rsidR="0074789A" w:rsidRPr="00CA06DE">
        <w:rPr>
          <w:rFonts w:ascii="Calibri" w:hAnsi="Calibri" w:cs="Calibri"/>
          <w:szCs w:val="22"/>
        </w:rPr>
        <w:t xml:space="preserve">30 </w:t>
      </w:r>
      <w:r w:rsidRPr="00CA06DE">
        <w:rPr>
          <w:rFonts w:ascii="Calibri" w:hAnsi="Calibri" w:cs="Calibri"/>
          <w:szCs w:val="22"/>
        </w:rPr>
        <w:t xml:space="preserve">days' notice during the Term. The Provider </w:t>
      </w:r>
      <w:r w:rsidR="002F180D" w:rsidRPr="004A23D1">
        <w:rPr>
          <w:rFonts w:ascii="Calibri" w:hAnsi="Calibri" w:cs="Calibri"/>
          <w:szCs w:val="22"/>
        </w:rPr>
        <w:t>shall</w:t>
      </w:r>
      <w:r w:rsidRPr="00CA06DE">
        <w:rPr>
          <w:rFonts w:ascii="Calibri" w:hAnsi="Calibri" w:cs="Calibri"/>
          <w:szCs w:val="22"/>
        </w:rPr>
        <w:t xml:space="preserve"> give the Customer and its third-party representatives all </w:t>
      </w:r>
      <w:r w:rsidR="002F180D" w:rsidRPr="004A23D1">
        <w:rPr>
          <w:rFonts w:ascii="Calibri" w:hAnsi="Calibri" w:cs="Calibri"/>
          <w:szCs w:val="22"/>
        </w:rPr>
        <w:t xml:space="preserve">reasonable </w:t>
      </w:r>
      <w:r w:rsidRPr="00CA06DE">
        <w:rPr>
          <w:rFonts w:ascii="Calibri" w:hAnsi="Calibri" w:cs="Calibri"/>
          <w:szCs w:val="22"/>
        </w:rPr>
        <w:t>assistance to conduct such audits</w:t>
      </w:r>
      <w:r w:rsidR="002F180D" w:rsidRPr="004A23D1">
        <w:rPr>
          <w:rFonts w:ascii="Calibri" w:hAnsi="Calibri" w:cs="Calibri"/>
          <w:szCs w:val="22"/>
        </w:rPr>
        <w:t xml:space="preserve">. </w:t>
      </w:r>
      <w:r w:rsidRPr="00CA06DE">
        <w:rPr>
          <w:rFonts w:ascii="Calibri" w:hAnsi="Calibri" w:cs="Calibri"/>
          <w:szCs w:val="22"/>
        </w:rPr>
        <w:t>The assistance may include</w:t>
      </w:r>
      <w:r w:rsidR="002F180D" w:rsidRPr="004A23D1">
        <w:rPr>
          <w:rFonts w:ascii="Calibri" w:hAnsi="Calibri" w:cs="Calibri"/>
          <w:szCs w:val="22"/>
        </w:rPr>
        <w:t xml:space="preserve"> </w:t>
      </w:r>
      <w:r w:rsidRPr="00CA06DE">
        <w:rPr>
          <w:rFonts w:ascii="Calibri" w:hAnsi="Calibri" w:cs="Calibri"/>
          <w:szCs w:val="22"/>
        </w:rPr>
        <w:t>but is not limited to:</w:t>
      </w:r>
      <w:bookmarkEnd w:id="85"/>
    </w:p>
    <w:p w14:paraId="33BDAC0E" w14:textId="77777777" w:rsidR="00324144" w:rsidRPr="00CA06DE" w:rsidRDefault="00324144" w:rsidP="00324144">
      <w:pPr>
        <w:pStyle w:val="Untitledsubclause2"/>
        <w:rPr>
          <w:rFonts w:ascii="Calibri" w:hAnsi="Calibri" w:cs="Calibri"/>
          <w:szCs w:val="22"/>
        </w:rPr>
      </w:pPr>
      <w:bookmarkStart w:id="86" w:name="a555622"/>
      <w:r w:rsidRPr="00CA06DE">
        <w:rPr>
          <w:rFonts w:ascii="Calibri" w:hAnsi="Calibri" w:cs="Calibri"/>
          <w:szCs w:val="22"/>
        </w:rPr>
        <w:t>physical access to, remote electronic access to, and copies of the Records and any other information held at the Provider's premises or on systems storing the Personal Data;</w:t>
      </w:r>
      <w:bookmarkEnd w:id="86"/>
    </w:p>
    <w:p w14:paraId="0E7E6689" w14:textId="77777777" w:rsidR="00324144" w:rsidRPr="00CA06DE" w:rsidRDefault="00324144" w:rsidP="00324144">
      <w:pPr>
        <w:pStyle w:val="Untitledsubclause2"/>
        <w:rPr>
          <w:rFonts w:ascii="Calibri" w:hAnsi="Calibri" w:cs="Calibri"/>
          <w:szCs w:val="22"/>
        </w:rPr>
      </w:pPr>
      <w:bookmarkStart w:id="87" w:name="a857694"/>
      <w:r w:rsidRPr="00CA06DE">
        <w:rPr>
          <w:rFonts w:ascii="Calibri" w:hAnsi="Calibri" w:cs="Calibri"/>
          <w:szCs w:val="22"/>
        </w:rPr>
        <w:t>access to and meetings with any of the Provider's personnel reasonably necessary to provide all explanations and perform the audit effectively; and</w:t>
      </w:r>
      <w:bookmarkEnd w:id="87"/>
    </w:p>
    <w:p w14:paraId="22305A42" w14:textId="77777777" w:rsidR="00324144" w:rsidRPr="00CA06DE" w:rsidRDefault="00324144" w:rsidP="00324144">
      <w:pPr>
        <w:pStyle w:val="Untitledsubclause2"/>
        <w:rPr>
          <w:rFonts w:ascii="Calibri" w:hAnsi="Calibri" w:cs="Calibri"/>
          <w:szCs w:val="22"/>
        </w:rPr>
      </w:pPr>
      <w:bookmarkStart w:id="88" w:name="a607735"/>
      <w:r w:rsidRPr="00CA06DE">
        <w:rPr>
          <w:rFonts w:ascii="Calibri" w:hAnsi="Calibri" w:cs="Calibri"/>
          <w:szCs w:val="22"/>
        </w:rPr>
        <w:t>inspection of Records and the infrastructure, electronic data or systems, facilities, equipment or application software used to process the Personal Data.</w:t>
      </w:r>
      <w:bookmarkEnd w:id="88"/>
    </w:p>
    <w:p w14:paraId="34034A34" w14:textId="77777777" w:rsidR="00324144" w:rsidRPr="004A23D1" w:rsidRDefault="00324144" w:rsidP="00324144">
      <w:pPr>
        <w:pStyle w:val="Testimonium"/>
        <w:rPr>
          <w:rFonts w:ascii="Calibri" w:hAnsi="Calibri" w:cs="Calibri"/>
          <w:szCs w:val="22"/>
          <w:lang w:val="en-US"/>
        </w:rPr>
      </w:pPr>
      <w:r w:rsidRPr="00CA06DE">
        <w:rPr>
          <w:rFonts w:ascii="Calibri" w:hAnsi="Calibri" w:cs="Calibri"/>
          <w:szCs w:val="22"/>
          <w:lang w:val="en-US"/>
        </w:rPr>
        <w:t>This Agreement has been entered into on the date stated at the beginning of it.</w:t>
      </w:r>
    </w:p>
    <w:p w14:paraId="7D427784" w14:textId="77777777" w:rsidR="002F180D" w:rsidRPr="00CA06DE" w:rsidRDefault="002F180D" w:rsidP="00324144">
      <w:pPr>
        <w:pStyle w:val="Testimonium"/>
        <w:rPr>
          <w:rFonts w:ascii="Calibri" w:hAnsi="Calibri" w:cs="Calibri"/>
          <w:szCs w:val="22"/>
          <w:lang w:val="en-US"/>
        </w:rPr>
      </w:pPr>
    </w:p>
    <w:tbl>
      <w:tblPr>
        <w:tblW w:w="0" w:type="auto"/>
        <w:shd w:val="clear" w:color="auto" w:fill="EEECE1"/>
        <w:tblLook w:val="04A0" w:firstRow="1" w:lastRow="0" w:firstColumn="1" w:lastColumn="0" w:noHBand="0" w:noVBand="1"/>
      </w:tblPr>
      <w:tblGrid>
        <w:gridCol w:w="5773"/>
        <w:gridCol w:w="385"/>
        <w:gridCol w:w="2868"/>
        <w:tblGridChange w:id="89">
          <w:tblGrid>
            <w:gridCol w:w="5773"/>
            <w:gridCol w:w="385"/>
            <w:gridCol w:w="2868"/>
          </w:tblGrid>
        </w:tblGridChange>
      </w:tblGrid>
      <w:tr w:rsidR="002F180D" w:rsidRPr="00CA06DE" w14:paraId="11780C39" w14:textId="77777777" w:rsidTr="004A23D1">
        <w:tc>
          <w:tcPr>
            <w:tcW w:w="6912" w:type="dxa"/>
            <w:shd w:val="clear" w:color="auto" w:fill="auto"/>
          </w:tcPr>
          <w:p w14:paraId="79EFFFDB" w14:textId="77777777" w:rsidR="002F180D" w:rsidRPr="00CA06DE" w:rsidRDefault="002F180D" w:rsidP="004A23D1">
            <w:pPr>
              <w:pStyle w:val="Paragraph"/>
              <w:rPr>
                <w:rFonts w:ascii="Calibri" w:hAnsi="Calibri" w:cs="Calibri"/>
                <w:szCs w:val="22"/>
              </w:rPr>
            </w:pPr>
            <w:r w:rsidRPr="00CA06DE">
              <w:rPr>
                <w:rFonts w:ascii="Calibri" w:hAnsi="Calibri" w:cs="Calibri"/>
                <w:szCs w:val="22"/>
              </w:rPr>
              <w:t>Signed by [</w:t>
            </w:r>
            <w:r w:rsidRPr="00CA06DE">
              <w:rPr>
                <w:rFonts w:ascii="Calibri" w:hAnsi="Calibri" w:cs="Calibri"/>
                <w:szCs w:val="22"/>
                <w:highlight w:val="yellow"/>
              </w:rPr>
              <w:t>NAME OF DIRECTOR</w:t>
            </w:r>
            <w:r w:rsidRPr="00CA06DE">
              <w:rPr>
                <w:rFonts w:ascii="Calibri" w:hAnsi="Calibri" w:cs="Calibri"/>
                <w:szCs w:val="22"/>
              </w:rPr>
              <w:t>]</w:t>
            </w:r>
          </w:p>
        </w:tc>
        <w:tc>
          <w:tcPr>
            <w:tcW w:w="426" w:type="dxa"/>
            <w:shd w:val="clear" w:color="auto" w:fill="auto"/>
          </w:tcPr>
          <w:p w14:paraId="07376CF9" w14:textId="77777777" w:rsidR="002F180D" w:rsidRPr="00CA06DE" w:rsidRDefault="002F180D" w:rsidP="004A23D1">
            <w:pPr>
              <w:spacing w:after="0"/>
              <w:rPr>
                <w:rFonts w:ascii="Calibri" w:hAnsi="Calibri" w:cs="Calibri"/>
              </w:rPr>
            </w:pPr>
          </w:p>
        </w:tc>
        <w:tc>
          <w:tcPr>
            <w:tcW w:w="3345" w:type="dxa"/>
            <w:tcBorders>
              <w:bottom w:val="dashSmallGap" w:sz="4" w:space="0" w:color="auto"/>
            </w:tcBorders>
            <w:shd w:val="clear" w:color="auto" w:fill="auto"/>
          </w:tcPr>
          <w:p w14:paraId="745C3C09" w14:textId="77777777" w:rsidR="002F180D" w:rsidRPr="00CA06DE" w:rsidRDefault="002F180D" w:rsidP="004A23D1">
            <w:pPr>
              <w:spacing w:after="0"/>
              <w:rPr>
                <w:rFonts w:ascii="Calibri" w:hAnsi="Calibri" w:cs="Calibri"/>
              </w:rPr>
            </w:pPr>
          </w:p>
        </w:tc>
      </w:tr>
      <w:tr w:rsidR="002F180D" w:rsidRPr="00CA06DE" w14:paraId="4AFBB289" w14:textId="77777777" w:rsidTr="004A23D1">
        <w:tc>
          <w:tcPr>
            <w:tcW w:w="6912" w:type="dxa"/>
            <w:shd w:val="clear" w:color="auto" w:fill="auto"/>
          </w:tcPr>
          <w:p w14:paraId="4579B05D" w14:textId="77777777" w:rsidR="002F180D" w:rsidRPr="00CA06DE" w:rsidRDefault="002F180D" w:rsidP="004A23D1">
            <w:pPr>
              <w:pStyle w:val="Paragraph"/>
              <w:rPr>
                <w:rFonts w:ascii="Calibri" w:hAnsi="Calibri" w:cs="Calibri"/>
                <w:szCs w:val="22"/>
              </w:rPr>
            </w:pPr>
            <w:r w:rsidRPr="00CA06DE">
              <w:rPr>
                <w:rFonts w:ascii="Calibri" w:hAnsi="Calibri" w:cs="Calibri"/>
                <w:szCs w:val="22"/>
              </w:rPr>
              <w:t>for and on behalf of [</w:t>
            </w:r>
            <w:r w:rsidRPr="00CA06DE">
              <w:rPr>
                <w:rFonts w:ascii="Calibri" w:hAnsi="Calibri" w:cs="Calibri"/>
                <w:szCs w:val="22"/>
                <w:highlight w:val="yellow"/>
              </w:rPr>
              <w:t xml:space="preserve">NAME OF </w:t>
            </w:r>
            <w:r w:rsidRPr="00CA06DE">
              <w:rPr>
                <w:rFonts w:ascii="Calibri" w:hAnsi="Calibri" w:cs="Calibri"/>
                <w:b/>
                <w:szCs w:val="22"/>
                <w:highlight w:val="yellow"/>
              </w:rPr>
              <w:t>Customer</w:t>
            </w:r>
            <w:r w:rsidRPr="00CA06DE">
              <w:rPr>
                <w:rFonts w:ascii="Calibri" w:hAnsi="Calibri" w:cs="Calibri"/>
                <w:szCs w:val="22"/>
              </w:rPr>
              <w:t>]</w:t>
            </w:r>
          </w:p>
        </w:tc>
        <w:tc>
          <w:tcPr>
            <w:tcW w:w="426" w:type="dxa"/>
            <w:shd w:val="clear" w:color="auto" w:fill="auto"/>
          </w:tcPr>
          <w:p w14:paraId="686FA877" w14:textId="77777777" w:rsidR="002F180D" w:rsidRPr="00CA06DE" w:rsidRDefault="002F180D" w:rsidP="004A23D1">
            <w:pPr>
              <w:spacing w:after="0"/>
              <w:rPr>
                <w:rFonts w:ascii="Calibri" w:hAnsi="Calibri" w:cs="Calibri"/>
              </w:rPr>
            </w:pPr>
          </w:p>
        </w:tc>
        <w:tc>
          <w:tcPr>
            <w:tcW w:w="3345" w:type="dxa"/>
            <w:tcBorders>
              <w:top w:val="dashSmallGap" w:sz="4" w:space="0" w:color="auto"/>
            </w:tcBorders>
            <w:shd w:val="clear" w:color="auto" w:fill="auto"/>
          </w:tcPr>
          <w:p w14:paraId="1E9EBE6A" w14:textId="77777777" w:rsidR="002F180D" w:rsidRPr="00CA06DE" w:rsidRDefault="002F180D" w:rsidP="004A23D1">
            <w:pPr>
              <w:pStyle w:val="Paragraph"/>
              <w:rPr>
                <w:rFonts w:ascii="Calibri" w:hAnsi="Calibri" w:cs="Calibri"/>
                <w:szCs w:val="22"/>
              </w:rPr>
            </w:pPr>
            <w:r w:rsidRPr="00CA06DE">
              <w:rPr>
                <w:rFonts w:ascii="Calibri" w:hAnsi="Calibri" w:cs="Calibri"/>
                <w:szCs w:val="22"/>
              </w:rPr>
              <w:t>Director</w:t>
            </w:r>
          </w:p>
        </w:tc>
      </w:tr>
      <w:tr w:rsidR="002F180D" w:rsidRPr="00CA06DE" w14:paraId="7C1E4592" w14:textId="77777777" w:rsidTr="004A23D1">
        <w:tc>
          <w:tcPr>
            <w:tcW w:w="6912" w:type="dxa"/>
            <w:shd w:val="clear" w:color="auto" w:fill="auto"/>
          </w:tcPr>
          <w:p w14:paraId="34FD1D4B" w14:textId="77777777" w:rsidR="002F180D" w:rsidRPr="00CA06DE" w:rsidRDefault="002F180D" w:rsidP="004A23D1">
            <w:pPr>
              <w:pStyle w:val="Paragraph"/>
              <w:rPr>
                <w:rFonts w:ascii="Calibri" w:hAnsi="Calibri" w:cs="Calibri"/>
                <w:szCs w:val="22"/>
              </w:rPr>
            </w:pPr>
            <w:r w:rsidRPr="00CA06DE">
              <w:rPr>
                <w:rFonts w:ascii="Calibri" w:hAnsi="Calibri" w:cs="Calibri"/>
                <w:szCs w:val="22"/>
              </w:rPr>
              <w:t>Signed by [</w:t>
            </w:r>
            <w:r w:rsidRPr="00CA06DE">
              <w:rPr>
                <w:rFonts w:ascii="Calibri" w:hAnsi="Calibri" w:cs="Calibri"/>
                <w:szCs w:val="22"/>
                <w:highlight w:val="yellow"/>
              </w:rPr>
              <w:t>NAME OF DIRECTOR</w:t>
            </w:r>
            <w:r w:rsidRPr="00CA06DE">
              <w:rPr>
                <w:rFonts w:ascii="Calibri" w:hAnsi="Calibri" w:cs="Calibri"/>
                <w:szCs w:val="22"/>
              </w:rPr>
              <w:t>]</w:t>
            </w:r>
          </w:p>
        </w:tc>
        <w:tc>
          <w:tcPr>
            <w:tcW w:w="426" w:type="dxa"/>
            <w:shd w:val="clear" w:color="auto" w:fill="auto"/>
          </w:tcPr>
          <w:p w14:paraId="6D5992D2" w14:textId="77777777" w:rsidR="002F180D" w:rsidRPr="00CA06DE" w:rsidRDefault="002F180D" w:rsidP="004A23D1">
            <w:pPr>
              <w:spacing w:after="0"/>
              <w:rPr>
                <w:rFonts w:ascii="Calibri" w:hAnsi="Calibri" w:cs="Calibri"/>
              </w:rPr>
            </w:pPr>
          </w:p>
        </w:tc>
        <w:tc>
          <w:tcPr>
            <w:tcW w:w="3345" w:type="dxa"/>
            <w:tcBorders>
              <w:bottom w:val="dashSmallGap" w:sz="4" w:space="0" w:color="auto"/>
            </w:tcBorders>
            <w:shd w:val="clear" w:color="auto" w:fill="auto"/>
          </w:tcPr>
          <w:p w14:paraId="2062748F" w14:textId="77777777" w:rsidR="002F180D" w:rsidRPr="00CA06DE" w:rsidRDefault="002F180D" w:rsidP="004A23D1">
            <w:pPr>
              <w:spacing w:after="0"/>
              <w:rPr>
                <w:rFonts w:ascii="Calibri" w:hAnsi="Calibri" w:cs="Calibri"/>
              </w:rPr>
            </w:pPr>
          </w:p>
        </w:tc>
      </w:tr>
      <w:tr w:rsidR="002F180D" w:rsidRPr="00CA06DE" w14:paraId="4C5B8693" w14:textId="77777777" w:rsidTr="004A23D1">
        <w:tc>
          <w:tcPr>
            <w:tcW w:w="6912" w:type="dxa"/>
            <w:shd w:val="clear" w:color="auto" w:fill="auto"/>
          </w:tcPr>
          <w:p w14:paraId="305FF803" w14:textId="77777777" w:rsidR="002F180D" w:rsidRPr="00CA06DE" w:rsidRDefault="002F180D" w:rsidP="004A23D1">
            <w:pPr>
              <w:pStyle w:val="Paragraph"/>
              <w:rPr>
                <w:rFonts w:ascii="Calibri" w:hAnsi="Calibri" w:cs="Calibri"/>
                <w:szCs w:val="22"/>
              </w:rPr>
            </w:pPr>
            <w:r w:rsidRPr="00CA06DE">
              <w:rPr>
                <w:rFonts w:ascii="Calibri" w:hAnsi="Calibri" w:cs="Calibri"/>
                <w:szCs w:val="22"/>
              </w:rPr>
              <w:t>for and on behalf of [</w:t>
            </w:r>
            <w:r w:rsidRPr="00CA06DE">
              <w:rPr>
                <w:rFonts w:ascii="Calibri" w:hAnsi="Calibri" w:cs="Calibri"/>
                <w:szCs w:val="22"/>
                <w:highlight w:val="yellow"/>
              </w:rPr>
              <w:t xml:space="preserve">NAME OF </w:t>
            </w:r>
            <w:r w:rsidRPr="00CA06DE">
              <w:rPr>
                <w:rFonts w:ascii="Calibri" w:hAnsi="Calibri" w:cs="Calibri"/>
                <w:b/>
                <w:szCs w:val="22"/>
                <w:highlight w:val="yellow"/>
              </w:rPr>
              <w:t>Provider</w:t>
            </w:r>
            <w:r w:rsidRPr="00CA06DE">
              <w:rPr>
                <w:rFonts w:ascii="Calibri" w:hAnsi="Calibri" w:cs="Calibri"/>
                <w:szCs w:val="22"/>
              </w:rPr>
              <w:t>]</w:t>
            </w:r>
          </w:p>
        </w:tc>
        <w:tc>
          <w:tcPr>
            <w:tcW w:w="426" w:type="dxa"/>
            <w:shd w:val="clear" w:color="auto" w:fill="auto"/>
          </w:tcPr>
          <w:p w14:paraId="6CBA5C3C" w14:textId="77777777" w:rsidR="002F180D" w:rsidRPr="00CA06DE" w:rsidRDefault="002F180D" w:rsidP="004A23D1">
            <w:pPr>
              <w:spacing w:after="0"/>
              <w:rPr>
                <w:rFonts w:ascii="Calibri" w:hAnsi="Calibri" w:cs="Calibri"/>
              </w:rPr>
            </w:pPr>
          </w:p>
        </w:tc>
        <w:tc>
          <w:tcPr>
            <w:tcW w:w="3345" w:type="dxa"/>
            <w:tcBorders>
              <w:top w:val="dashSmallGap" w:sz="4" w:space="0" w:color="auto"/>
            </w:tcBorders>
            <w:shd w:val="clear" w:color="auto" w:fill="auto"/>
          </w:tcPr>
          <w:p w14:paraId="44715F22" w14:textId="77777777" w:rsidR="002F180D" w:rsidRPr="00CA06DE" w:rsidRDefault="002F180D" w:rsidP="004A23D1">
            <w:pPr>
              <w:pStyle w:val="Paragraph"/>
              <w:rPr>
                <w:rFonts w:ascii="Calibri" w:hAnsi="Calibri" w:cs="Calibri"/>
                <w:szCs w:val="22"/>
              </w:rPr>
            </w:pPr>
            <w:r w:rsidRPr="00CA06DE">
              <w:rPr>
                <w:rFonts w:ascii="Calibri" w:hAnsi="Calibri" w:cs="Calibri"/>
                <w:szCs w:val="22"/>
              </w:rPr>
              <w:t>Director</w:t>
            </w:r>
          </w:p>
        </w:tc>
      </w:tr>
    </w:tbl>
    <w:p w14:paraId="6E468C77" w14:textId="77777777" w:rsidR="00324144" w:rsidRPr="00CA06DE" w:rsidRDefault="00324144" w:rsidP="00CA06DE">
      <w:pPr>
        <w:rPr>
          <w:rFonts w:ascii="Calibri" w:hAnsi="Calibri" w:cs="Calibri"/>
          <w:b/>
          <w:bCs/>
          <w:lang w:val="en-US"/>
        </w:rPr>
      </w:pPr>
      <w:r w:rsidRPr="00CA06DE">
        <w:rPr>
          <w:rFonts w:ascii="Calibri" w:hAnsi="Calibri" w:cs="Calibri"/>
        </w:rPr>
        <w:br w:type="page"/>
      </w:r>
      <w:bookmarkStart w:id="90" w:name="a976303"/>
      <w:bookmarkStart w:id="91" w:name="_Toc256000016"/>
      <w:r w:rsidR="00A85134" w:rsidRPr="00CA06DE">
        <w:rPr>
          <w:rFonts w:ascii="Calibri" w:hAnsi="Calibri" w:cs="Calibri"/>
          <w:b/>
          <w:bCs/>
        </w:rPr>
        <w:lastRenderedPageBreak/>
        <w:t xml:space="preserve">Annex A: </w:t>
      </w:r>
      <w:r w:rsidRPr="00CA06DE">
        <w:rPr>
          <w:rFonts w:ascii="Calibri" w:hAnsi="Calibri" w:cs="Calibri"/>
          <w:b/>
          <w:bCs/>
        </w:rPr>
        <w:t>Personal Data processing purposes and details</w:t>
      </w:r>
      <w:bookmarkEnd w:id="90"/>
      <w:bookmarkEnd w:id="91"/>
      <w:r w:rsidR="00B740A5">
        <w:rPr>
          <w:rFonts w:ascii="Calibri" w:hAnsi="Calibri" w:cs="Calibri"/>
          <w:b/>
          <w:bCs/>
        </w:rPr>
        <w:t xml:space="preserve"> where </w:t>
      </w:r>
      <w:proofErr w:type="spellStart"/>
      <w:r w:rsidR="00DB1190">
        <w:rPr>
          <w:rFonts w:ascii="Calibri" w:hAnsi="Calibri" w:cs="Calibri"/>
          <w:b/>
          <w:bCs/>
        </w:rPr>
        <w:t>BrandSwap</w:t>
      </w:r>
      <w:proofErr w:type="spellEnd"/>
      <w:r w:rsidR="00B740A5">
        <w:rPr>
          <w:rFonts w:ascii="Calibri" w:hAnsi="Calibri" w:cs="Calibri"/>
          <w:b/>
          <w:bCs/>
        </w:rPr>
        <w:t xml:space="preserve"> acts as the processor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6132"/>
        <w:tblGridChange w:id="92">
          <w:tblGrid>
            <w:gridCol w:w="2884"/>
            <w:gridCol w:w="6132"/>
          </w:tblGrid>
        </w:tblGridChange>
      </w:tblGrid>
      <w:tr w:rsidR="0074789A" w:rsidRPr="00CA06DE" w14:paraId="5B587B8D" w14:textId="77777777" w:rsidTr="004A23D1">
        <w:tc>
          <w:tcPr>
            <w:tcW w:w="2943" w:type="dxa"/>
            <w:shd w:val="clear" w:color="auto" w:fill="auto"/>
          </w:tcPr>
          <w:p w14:paraId="2387B3FB" w14:textId="77777777" w:rsidR="0074789A" w:rsidRPr="00CA06DE" w:rsidRDefault="0074789A" w:rsidP="0074789A">
            <w:pPr>
              <w:pStyle w:val="Paragraph"/>
              <w:rPr>
                <w:rFonts w:ascii="Calibri" w:hAnsi="Calibri" w:cs="Calibri"/>
                <w:b/>
                <w:bCs/>
                <w:szCs w:val="22"/>
                <w:lang w:val="en-US"/>
              </w:rPr>
            </w:pPr>
            <w:r w:rsidRPr="00CA06DE">
              <w:rPr>
                <w:rFonts w:ascii="Calibri" w:hAnsi="Calibri" w:cs="Calibri"/>
                <w:b/>
                <w:bCs/>
                <w:szCs w:val="22"/>
                <w:lang w:val="en-US"/>
              </w:rPr>
              <w:t>Subject matter of processing</w:t>
            </w:r>
          </w:p>
          <w:p w14:paraId="28107CAD" w14:textId="77777777" w:rsidR="0074789A" w:rsidRPr="00CA06DE" w:rsidRDefault="0074789A" w:rsidP="00324144">
            <w:pPr>
              <w:pStyle w:val="Paragraph"/>
              <w:rPr>
                <w:rFonts w:ascii="Calibri" w:hAnsi="Calibri" w:cs="Calibri"/>
                <w:szCs w:val="22"/>
                <w:lang w:val="en-US"/>
              </w:rPr>
            </w:pPr>
          </w:p>
        </w:tc>
        <w:tc>
          <w:tcPr>
            <w:tcW w:w="6299" w:type="dxa"/>
            <w:shd w:val="clear" w:color="auto" w:fill="auto"/>
          </w:tcPr>
          <w:p w14:paraId="1B8BC02F" w14:textId="77777777" w:rsidR="0074789A" w:rsidRPr="00CA06DE" w:rsidRDefault="00CA06DE" w:rsidP="00324144">
            <w:pPr>
              <w:pStyle w:val="Paragraph"/>
              <w:rPr>
                <w:rFonts w:ascii="Calibri" w:hAnsi="Calibri" w:cs="Calibri"/>
                <w:szCs w:val="22"/>
                <w:lang w:val="en-US"/>
              </w:rPr>
            </w:pPr>
            <w:r>
              <w:rPr>
                <w:rFonts w:ascii="Calibri" w:hAnsi="Calibri" w:cs="Calibri"/>
                <w:szCs w:val="22"/>
                <w:lang w:val="en-US"/>
              </w:rPr>
              <w:t>To carry out the services as per the Service Agreement</w:t>
            </w:r>
          </w:p>
        </w:tc>
      </w:tr>
      <w:tr w:rsidR="0074789A" w:rsidRPr="00CA06DE" w14:paraId="157F93ED" w14:textId="77777777" w:rsidTr="004A23D1">
        <w:tc>
          <w:tcPr>
            <w:tcW w:w="2943" w:type="dxa"/>
            <w:shd w:val="clear" w:color="auto" w:fill="auto"/>
          </w:tcPr>
          <w:p w14:paraId="6C88BE11" w14:textId="77777777" w:rsidR="0074789A" w:rsidRPr="00CA06DE" w:rsidRDefault="0074789A" w:rsidP="0074789A">
            <w:pPr>
              <w:pStyle w:val="Paragraph"/>
              <w:rPr>
                <w:rFonts w:ascii="Calibri" w:hAnsi="Calibri" w:cs="Calibri"/>
                <w:b/>
                <w:bCs/>
                <w:szCs w:val="22"/>
                <w:lang w:val="en-US"/>
              </w:rPr>
            </w:pPr>
            <w:r w:rsidRPr="00CA06DE">
              <w:rPr>
                <w:rFonts w:ascii="Calibri" w:hAnsi="Calibri" w:cs="Calibri"/>
                <w:b/>
                <w:bCs/>
                <w:szCs w:val="22"/>
                <w:lang w:val="en-US"/>
              </w:rPr>
              <w:t>Duration of Processing</w:t>
            </w:r>
          </w:p>
          <w:p w14:paraId="54F076F4" w14:textId="77777777" w:rsidR="0074789A" w:rsidRPr="00CA06DE" w:rsidRDefault="0074789A" w:rsidP="00324144">
            <w:pPr>
              <w:pStyle w:val="Paragraph"/>
              <w:rPr>
                <w:rFonts w:ascii="Calibri" w:hAnsi="Calibri" w:cs="Calibri"/>
                <w:szCs w:val="22"/>
                <w:lang w:val="en-US"/>
              </w:rPr>
            </w:pPr>
          </w:p>
        </w:tc>
        <w:tc>
          <w:tcPr>
            <w:tcW w:w="6299" w:type="dxa"/>
            <w:shd w:val="clear" w:color="auto" w:fill="auto"/>
          </w:tcPr>
          <w:p w14:paraId="28105452" w14:textId="77777777" w:rsidR="0074789A" w:rsidRPr="00CA06DE" w:rsidRDefault="00CA06DE" w:rsidP="00324144">
            <w:pPr>
              <w:pStyle w:val="Paragraph"/>
              <w:rPr>
                <w:rFonts w:ascii="Calibri" w:hAnsi="Calibri" w:cs="Calibri"/>
                <w:szCs w:val="22"/>
                <w:lang w:val="en-US"/>
              </w:rPr>
            </w:pPr>
            <w:r>
              <w:rPr>
                <w:rFonts w:ascii="Calibri" w:hAnsi="Calibri" w:cs="Calibri"/>
                <w:szCs w:val="22"/>
                <w:lang w:val="en-US"/>
              </w:rPr>
              <w:t xml:space="preserve">Until termination of the Service Agreement </w:t>
            </w:r>
          </w:p>
        </w:tc>
      </w:tr>
      <w:tr w:rsidR="0074789A" w:rsidRPr="00CA06DE" w14:paraId="1760AE19" w14:textId="77777777" w:rsidTr="004A23D1">
        <w:tc>
          <w:tcPr>
            <w:tcW w:w="2943" w:type="dxa"/>
            <w:shd w:val="clear" w:color="auto" w:fill="auto"/>
          </w:tcPr>
          <w:p w14:paraId="5A5A9F2C" w14:textId="77777777" w:rsidR="0074789A" w:rsidRPr="00CA06DE" w:rsidRDefault="0074789A" w:rsidP="0074789A">
            <w:pPr>
              <w:pStyle w:val="Paragraph"/>
              <w:rPr>
                <w:rFonts w:ascii="Calibri" w:hAnsi="Calibri" w:cs="Calibri"/>
                <w:b/>
                <w:bCs/>
                <w:szCs w:val="22"/>
                <w:lang w:val="en-US"/>
              </w:rPr>
            </w:pPr>
            <w:r w:rsidRPr="00CA06DE">
              <w:rPr>
                <w:rFonts w:ascii="Calibri" w:hAnsi="Calibri" w:cs="Calibri"/>
                <w:b/>
                <w:bCs/>
                <w:szCs w:val="22"/>
                <w:lang w:val="en-US"/>
              </w:rPr>
              <w:t>Nature of Processing</w:t>
            </w:r>
          </w:p>
          <w:p w14:paraId="61993E0A" w14:textId="77777777" w:rsidR="0074789A" w:rsidRPr="00CA06DE" w:rsidRDefault="0074789A" w:rsidP="00324144">
            <w:pPr>
              <w:pStyle w:val="Paragraph"/>
              <w:rPr>
                <w:rFonts w:ascii="Calibri" w:hAnsi="Calibri" w:cs="Calibri"/>
                <w:szCs w:val="22"/>
                <w:lang w:val="en-US"/>
              </w:rPr>
            </w:pPr>
          </w:p>
        </w:tc>
        <w:tc>
          <w:tcPr>
            <w:tcW w:w="6299" w:type="dxa"/>
            <w:shd w:val="clear" w:color="auto" w:fill="auto"/>
          </w:tcPr>
          <w:p w14:paraId="4EEDE46B" w14:textId="77777777" w:rsidR="0074789A" w:rsidRPr="00CA06DE" w:rsidRDefault="00B740A5" w:rsidP="00324144">
            <w:pPr>
              <w:pStyle w:val="Paragraph"/>
              <w:rPr>
                <w:rFonts w:ascii="Calibri" w:hAnsi="Calibri" w:cs="Calibri"/>
                <w:szCs w:val="22"/>
                <w:lang w:val="en-US"/>
              </w:rPr>
            </w:pPr>
            <w:r>
              <w:rPr>
                <w:rFonts w:ascii="Calibri" w:hAnsi="Calibri" w:cs="Calibri"/>
                <w:szCs w:val="22"/>
                <w:lang w:val="en-US"/>
              </w:rPr>
              <w:t xml:space="preserve">To enable Customers to propose additional offers and rewards to the End User. </w:t>
            </w:r>
          </w:p>
        </w:tc>
      </w:tr>
      <w:tr w:rsidR="0074789A" w:rsidRPr="00CA06DE" w14:paraId="14565EC4" w14:textId="77777777" w:rsidTr="004A23D1">
        <w:tc>
          <w:tcPr>
            <w:tcW w:w="2943" w:type="dxa"/>
            <w:shd w:val="clear" w:color="auto" w:fill="auto"/>
          </w:tcPr>
          <w:p w14:paraId="7303A4A9" w14:textId="77777777" w:rsidR="0074789A" w:rsidRPr="00CA06DE" w:rsidRDefault="0074789A" w:rsidP="0074789A">
            <w:pPr>
              <w:pStyle w:val="Paragraph"/>
              <w:rPr>
                <w:rFonts w:ascii="Calibri" w:hAnsi="Calibri" w:cs="Calibri"/>
                <w:b/>
                <w:bCs/>
                <w:szCs w:val="22"/>
                <w:lang w:val="en-US"/>
              </w:rPr>
            </w:pPr>
            <w:r w:rsidRPr="00CA06DE">
              <w:rPr>
                <w:rFonts w:ascii="Calibri" w:hAnsi="Calibri" w:cs="Calibri"/>
                <w:b/>
                <w:bCs/>
                <w:szCs w:val="22"/>
                <w:lang w:val="en-US"/>
              </w:rPr>
              <w:t>Personal Data Categories</w:t>
            </w:r>
          </w:p>
          <w:p w14:paraId="6DD0CE58" w14:textId="77777777" w:rsidR="0074789A" w:rsidRPr="00CA06DE" w:rsidRDefault="0074789A" w:rsidP="00324144">
            <w:pPr>
              <w:pStyle w:val="Paragraph"/>
              <w:rPr>
                <w:rFonts w:ascii="Calibri" w:hAnsi="Calibri" w:cs="Calibri"/>
                <w:szCs w:val="22"/>
                <w:lang w:val="en-US"/>
              </w:rPr>
            </w:pPr>
          </w:p>
        </w:tc>
        <w:tc>
          <w:tcPr>
            <w:tcW w:w="6299" w:type="dxa"/>
            <w:shd w:val="clear" w:color="auto" w:fill="auto"/>
          </w:tcPr>
          <w:p w14:paraId="7E88F5FC" w14:textId="77777777" w:rsidR="0074789A" w:rsidRDefault="00CA06DE" w:rsidP="00324144">
            <w:pPr>
              <w:pStyle w:val="Paragraph"/>
              <w:rPr>
                <w:rFonts w:ascii="Calibri" w:hAnsi="Calibri" w:cs="Calibri"/>
                <w:szCs w:val="22"/>
                <w:lang w:val="en-US"/>
              </w:rPr>
            </w:pPr>
            <w:r>
              <w:rPr>
                <w:rFonts w:ascii="Calibri" w:hAnsi="Calibri" w:cs="Calibri"/>
                <w:szCs w:val="22"/>
                <w:lang w:val="en-US"/>
              </w:rPr>
              <w:t xml:space="preserve">End User personal data can include: </w:t>
            </w:r>
          </w:p>
          <w:p w14:paraId="6751B3AA" w14:textId="77777777" w:rsidR="00CA06DE" w:rsidRDefault="00CA06DE" w:rsidP="00324144">
            <w:pPr>
              <w:pStyle w:val="Paragraph"/>
              <w:rPr>
                <w:rFonts w:ascii="Calibri" w:hAnsi="Calibri" w:cs="Calibri"/>
                <w:szCs w:val="22"/>
              </w:rPr>
            </w:pPr>
            <w:r w:rsidRPr="00B740A5">
              <w:rPr>
                <w:rFonts w:ascii="Calibri" w:hAnsi="Calibri" w:cs="Calibri"/>
                <w:b/>
                <w:bCs/>
                <w:szCs w:val="22"/>
                <w:lang w:val="en-US"/>
              </w:rPr>
              <w:t>Identity data:</w:t>
            </w:r>
            <w:r w:rsidRPr="00565E8D">
              <w:rPr>
                <w:rFonts w:ascii="Calibri" w:eastAsia="Calibri" w:hAnsi="Calibri" w:cs="Calibri"/>
                <w:color w:val="auto"/>
                <w:szCs w:val="22"/>
              </w:rPr>
              <w:t xml:space="preserve"> </w:t>
            </w:r>
            <w:r w:rsidRPr="00565E8D">
              <w:rPr>
                <w:rFonts w:ascii="Calibri" w:hAnsi="Calibri" w:cs="Calibri"/>
                <w:szCs w:val="22"/>
              </w:rPr>
              <w:t>I</w:t>
            </w:r>
            <w:r w:rsidRPr="00CA06DE">
              <w:rPr>
                <w:rFonts w:ascii="Calibri" w:hAnsi="Calibri" w:cs="Calibri"/>
                <w:szCs w:val="22"/>
              </w:rPr>
              <w:t>ncludes first name, last name, username or similar identifier and title</w:t>
            </w:r>
          </w:p>
          <w:p w14:paraId="446668FC" w14:textId="77777777" w:rsidR="00CA06DE" w:rsidRDefault="00CA06DE" w:rsidP="00324144">
            <w:pPr>
              <w:pStyle w:val="Paragraph"/>
              <w:rPr>
                <w:rFonts w:ascii="Calibri" w:hAnsi="Calibri" w:cs="Calibri"/>
                <w:szCs w:val="22"/>
                <w:lang w:val="en-US"/>
              </w:rPr>
            </w:pPr>
            <w:r w:rsidRPr="00B740A5">
              <w:rPr>
                <w:rFonts w:ascii="Calibri" w:hAnsi="Calibri" w:cs="Calibri"/>
                <w:b/>
                <w:bCs/>
                <w:szCs w:val="22"/>
              </w:rPr>
              <w:t>Contact data:</w:t>
            </w:r>
            <w:r>
              <w:rPr>
                <w:rFonts w:ascii="Calibri" w:hAnsi="Calibri" w:cs="Calibri"/>
                <w:szCs w:val="22"/>
              </w:rPr>
              <w:t xml:space="preserve"> Email addresses </w:t>
            </w:r>
          </w:p>
          <w:p w14:paraId="27D6586D" w14:textId="77777777" w:rsidR="00CA06DE" w:rsidRDefault="00CA06DE" w:rsidP="00324144">
            <w:pPr>
              <w:pStyle w:val="Paragraph"/>
              <w:rPr>
                <w:rFonts w:ascii="Calibri" w:hAnsi="Calibri" w:cs="Calibri"/>
                <w:szCs w:val="22"/>
                <w:lang w:val="en-US"/>
              </w:rPr>
            </w:pPr>
            <w:r w:rsidRPr="00B740A5">
              <w:rPr>
                <w:rFonts w:ascii="Calibri" w:hAnsi="Calibri" w:cs="Calibri"/>
                <w:b/>
                <w:bCs/>
                <w:szCs w:val="22"/>
                <w:lang w:val="en-US"/>
              </w:rPr>
              <w:t>Technical Data</w:t>
            </w:r>
            <w:r>
              <w:rPr>
                <w:rFonts w:ascii="Calibri" w:hAnsi="Calibri" w:cs="Calibri"/>
                <w:szCs w:val="22"/>
                <w:lang w:val="en-US"/>
              </w:rPr>
              <w:t xml:space="preserve">: </w:t>
            </w:r>
            <w:r w:rsidR="00B740A5">
              <w:rPr>
                <w:rFonts w:ascii="Calibri" w:hAnsi="Calibri" w:cs="Calibri"/>
                <w:szCs w:val="22"/>
                <w:lang w:val="en-US"/>
              </w:rPr>
              <w:t>I</w:t>
            </w:r>
            <w:r w:rsidR="00B740A5" w:rsidRPr="00B740A5">
              <w:rPr>
                <w:rFonts w:ascii="Calibri" w:hAnsi="Calibri" w:cs="Calibri"/>
                <w:szCs w:val="22"/>
                <w:lang w:val="en-US"/>
              </w:rPr>
              <w:t>ncludes internet protocol (IP) address, login data, browser type and version, time zone setting and location, browser plug-in types and versions, operating system and platform and other technology on the devices you use</w:t>
            </w:r>
            <w:r w:rsidR="00B740A5">
              <w:rPr>
                <w:rFonts w:ascii="Calibri" w:hAnsi="Calibri" w:cs="Calibri"/>
                <w:szCs w:val="22"/>
                <w:lang w:val="en-US"/>
              </w:rPr>
              <w:t>.</w:t>
            </w:r>
          </w:p>
          <w:p w14:paraId="650B0F02" w14:textId="77777777" w:rsidR="00B740A5" w:rsidRDefault="00B740A5" w:rsidP="00324144">
            <w:pPr>
              <w:pStyle w:val="Paragraph"/>
              <w:rPr>
                <w:rFonts w:ascii="Calibri" w:hAnsi="Calibri" w:cs="Calibri"/>
                <w:szCs w:val="22"/>
                <w:lang w:val="en-US"/>
              </w:rPr>
            </w:pPr>
            <w:r w:rsidRPr="00B740A5">
              <w:rPr>
                <w:rFonts w:ascii="Calibri" w:hAnsi="Calibri" w:cs="Calibri"/>
                <w:b/>
                <w:bCs/>
                <w:szCs w:val="22"/>
                <w:lang w:val="en-US"/>
              </w:rPr>
              <w:t>Profile Data:</w:t>
            </w:r>
            <w:r>
              <w:rPr>
                <w:rFonts w:ascii="Calibri" w:hAnsi="Calibri" w:cs="Calibri"/>
                <w:szCs w:val="22"/>
                <w:lang w:val="en-US"/>
              </w:rPr>
              <w:t xml:space="preserve"> Searches made by End User </w:t>
            </w:r>
          </w:p>
          <w:p w14:paraId="744BAF84" w14:textId="77777777" w:rsidR="00B740A5" w:rsidRDefault="00CA06DE" w:rsidP="00324144">
            <w:pPr>
              <w:pStyle w:val="Paragraph"/>
              <w:rPr>
                <w:rFonts w:ascii="Calibri" w:hAnsi="Calibri" w:cs="Calibri"/>
                <w:szCs w:val="22"/>
              </w:rPr>
            </w:pPr>
            <w:r w:rsidRPr="00B740A5">
              <w:rPr>
                <w:rFonts w:ascii="Calibri" w:hAnsi="Calibri" w:cs="Calibri"/>
                <w:b/>
                <w:bCs/>
                <w:szCs w:val="22"/>
                <w:lang w:val="en-US"/>
              </w:rPr>
              <w:t>Usage Data</w:t>
            </w:r>
            <w:r w:rsidR="00B740A5" w:rsidRPr="00B740A5">
              <w:rPr>
                <w:rFonts w:ascii="Calibri" w:hAnsi="Calibri" w:cs="Calibri"/>
                <w:b/>
                <w:bCs/>
                <w:szCs w:val="22"/>
                <w:lang w:val="en-US"/>
              </w:rPr>
              <w:t>:</w:t>
            </w:r>
            <w:r w:rsidR="00B740A5">
              <w:rPr>
                <w:rFonts w:ascii="Calibri" w:hAnsi="Calibri" w:cs="Calibri"/>
                <w:szCs w:val="22"/>
                <w:lang w:val="en-US"/>
              </w:rPr>
              <w:t xml:space="preserve"> I</w:t>
            </w:r>
            <w:r w:rsidR="00B740A5" w:rsidRPr="00B740A5">
              <w:rPr>
                <w:rFonts w:ascii="Calibri" w:hAnsi="Calibri" w:cs="Calibri"/>
                <w:szCs w:val="22"/>
              </w:rPr>
              <w:t>ncludes information about how you use our website and services.</w:t>
            </w:r>
          </w:p>
          <w:p w14:paraId="16995B75" w14:textId="77777777" w:rsidR="0069121A" w:rsidRPr="0069121A" w:rsidRDefault="0069121A" w:rsidP="00324144">
            <w:pPr>
              <w:pStyle w:val="Paragraph"/>
              <w:rPr>
                <w:rFonts w:ascii="Calibri" w:hAnsi="Calibri" w:cs="Calibri"/>
                <w:szCs w:val="22"/>
              </w:rPr>
            </w:pPr>
          </w:p>
        </w:tc>
      </w:tr>
      <w:tr w:rsidR="0074789A" w:rsidRPr="00CA06DE" w14:paraId="1E048009" w14:textId="77777777" w:rsidTr="004A23D1">
        <w:tc>
          <w:tcPr>
            <w:tcW w:w="2943" w:type="dxa"/>
            <w:shd w:val="clear" w:color="auto" w:fill="auto"/>
          </w:tcPr>
          <w:p w14:paraId="507E2EB6" w14:textId="77777777" w:rsidR="0074789A" w:rsidRPr="00B740A5" w:rsidRDefault="0074789A" w:rsidP="00324144">
            <w:pPr>
              <w:pStyle w:val="Paragraph"/>
              <w:rPr>
                <w:rFonts w:ascii="Calibri" w:hAnsi="Calibri" w:cs="Calibri"/>
                <w:b/>
                <w:bCs/>
                <w:szCs w:val="22"/>
                <w:lang w:val="en-US"/>
              </w:rPr>
            </w:pPr>
            <w:r w:rsidRPr="00CA06DE">
              <w:rPr>
                <w:rFonts w:ascii="Calibri" w:hAnsi="Calibri" w:cs="Calibri"/>
                <w:b/>
                <w:bCs/>
                <w:szCs w:val="22"/>
                <w:lang w:val="en-US"/>
              </w:rPr>
              <w:t>Data Subject Types</w:t>
            </w:r>
          </w:p>
        </w:tc>
        <w:tc>
          <w:tcPr>
            <w:tcW w:w="6299" w:type="dxa"/>
            <w:shd w:val="clear" w:color="auto" w:fill="auto"/>
          </w:tcPr>
          <w:p w14:paraId="13D2EE16" w14:textId="77777777" w:rsidR="0074789A" w:rsidRPr="00CA06DE" w:rsidRDefault="00CA06DE" w:rsidP="00324144">
            <w:pPr>
              <w:pStyle w:val="Paragraph"/>
              <w:rPr>
                <w:rFonts w:ascii="Calibri" w:hAnsi="Calibri" w:cs="Calibri"/>
                <w:szCs w:val="22"/>
                <w:lang w:val="en-US"/>
              </w:rPr>
            </w:pPr>
            <w:r>
              <w:rPr>
                <w:rFonts w:ascii="Calibri" w:hAnsi="Calibri" w:cs="Calibri"/>
                <w:szCs w:val="22"/>
                <w:lang w:val="en-US"/>
              </w:rPr>
              <w:t xml:space="preserve">Customer’s customer personal data known as “End User”. </w:t>
            </w:r>
          </w:p>
        </w:tc>
      </w:tr>
    </w:tbl>
    <w:p w14:paraId="2DB09C08" w14:textId="77777777" w:rsidR="00324144" w:rsidRDefault="00324144" w:rsidP="00324144">
      <w:pPr>
        <w:pStyle w:val="Paragraph"/>
        <w:rPr>
          <w:rFonts w:ascii="Calibri" w:hAnsi="Calibri" w:cs="Calibri"/>
          <w:szCs w:val="22"/>
          <w:lang w:val="en-US"/>
        </w:rPr>
      </w:pPr>
    </w:p>
    <w:p w14:paraId="6B5EB2AC" w14:textId="77777777" w:rsidR="0069121A" w:rsidRDefault="0069121A" w:rsidP="00324144">
      <w:pPr>
        <w:pStyle w:val="Paragraph"/>
        <w:rPr>
          <w:rFonts w:ascii="Calibri" w:hAnsi="Calibri" w:cs="Calibri"/>
          <w:b/>
          <w:bCs/>
          <w:szCs w:val="22"/>
          <w:lang w:val="en-US"/>
        </w:rPr>
      </w:pPr>
      <w:r w:rsidRPr="0069121A">
        <w:rPr>
          <w:rFonts w:ascii="Calibri" w:hAnsi="Calibri" w:cs="Calibri"/>
          <w:b/>
          <w:bCs/>
          <w:szCs w:val="22"/>
          <w:lang w:val="en-US"/>
        </w:rPr>
        <w:t xml:space="preserve">Subprocessor list </w:t>
      </w:r>
    </w:p>
    <w:p w14:paraId="2AF97389" w14:textId="77777777" w:rsidR="0069121A" w:rsidRPr="0069121A" w:rsidRDefault="0069121A" w:rsidP="00324144">
      <w:pPr>
        <w:pStyle w:val="Paragraph"/>
        <w:rPr>
          <w:rFonts w:ascii="Calibri" w:hAnsi="Calibri" w:cs="Calibri"/>
          <w:szCs w:val="22"/>
          <w:lang w:val="en-US"/>
        </w:rPr>
      </w:pPr>
      <w:r w:rsidRPr="0069121A">
        <w:rPr>
          <w:rFonts w:ascii="Calibri" w:hAnsi="Calibri" w:cs="Calibri"/>
          <w:szCs w:val="22"/>
          <w:lang w:val="en-US"/>
        </w:rPr>
        <w:t xml:space="preserve">Where the processor uses subprocessors, the following subprocessors are used: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126"/>
        <w:tblGridChange w:id="93">
          <w:tblGrid>
            <w:gridCol w:w="2924"/>
            <w:gridCol w:w="6126"/>
          </w:tblGrid>
        </w:tblGridChange>
      </w:tblGrid>
      <w:tr w:rsidR="0074789A" w:rsidRPr="00CA06DE" w14:paraId="19C040A3" w14:textId="77777777" w:rsidTr="004A23D1">
        <w:tc>
          <w:tcPr>
            <w:tcW w:w="2977" w:type="dxa"/>
            <w:shd w:val="clear" w:color="auto" w:fill="auto"/>
          </w:tcPr>
          <w:p w14:paraId="3ED21CC5" w14:textId="77777777" w:rsidR="0074789A" w:rsidRPr="00CA06DE" w:rsidRDefault="00A85134" w:rsidP="004A23D1">
            <w:pPr>
              <w:pStyle w:val="BulletList1"/>
              <w:numPr>
                <w:ilvl w:val="0"/>
                <w:numId w:val="0"/>
              </w:numPr>
              <w:rPr>
                <w:rFonts w:ascii="Calibri" w:hAnsi="Calibri" w:cs="Calibri"/>
                <w:b/>
                <w:bCs/>
                <w:szCs w:val="22"/>
                <w:lang w:val="en-US"/>
              </w:rPr>
            </w:pPr>
            <w:r w:rsidRPr="00CA06DE">
              <w:rPr>
                <w:rFonts w:ascii="Calibri" w:hAnsi="Calibri" w:cs="Calibri"/>
                <w:b/>
                <w:bCs/>
                <w:szCs w:val="22"/>
                <w:lang w:val="en-US"/>
              </w:rPr>
              <w:t xml:space="preserve">Name </w:t>
            </w:r>
            <w:r w:rsidR="0069121A">
              <w:rPr>
                <w:rFonts w:ascii="Calibri" w:hAnsi="Calibri" w:cs="Calibri"/>
                <w:b/>
                <w:bCs/>
                <w:szCs w:val="22"/>
                <w:lang w:val="en-US"/>
              </w:rPr>
              <w:t xml:space="preserve">of subprocessor </w:t>
            </w:r>
          </w:p>
        </w:tc>
        <w:tc>
          <w:tcPr>
            <w:tcW w:w="6299" w:type="dxa"/>
            <w:shd w:val="clear" w:color="auto" w:fill="auto"/>
          </w:tcPr>
          <w:p w14:paraId="1DA68EC8" w14:textId="77777777" w:rsidR="0074789A" w:rsidRPr="00CA06DE" w:rsidRDefault="00A85134" w:rsidP="004A23D1">
            <w:pPr>
              <w:pStyle w:val="BulletList1"/>
              <w:numPr>
                <w:ilvl w:val="0"/>
                <w:numId w:val="0"/>
              </w:numPr>
              <w:rPr>
                <w:rFonts w:ascii="Calibri" w:hAnsi="Calibri" w:cs="Calibri"/>
                <w:b/>
                <w:bCs/>
                <w:szCs w:val="22"/>
                <w:lang w:val="en-US"/>
              </w:rPr>
            </w:pPr>
            <w:r w:rsidRPr="00CA06DE">
              <w:rPr>
                <w:rFonts w:ascii="Calibri" w:hAnsi="Calibri" w:cs="Calibri"/>
                <w:b/>
                <w:bCs/>
                <w:szCs w:val="22"/>
                <w:lang w:val="en-US"/>
              </w:rPr>
              <w:t xml:space="preserve">Location </w:t>
            </w:r>
          </w:p>
        </w:tc>
      </w:tr>
      <w:tr w:rsidR="0074789A" w:rsidRPr="00CA06DE" w14:paraId="62A8D248" w14:textId="77777777" w:rsidTr="004A23D1">
        <w:tc>
          <w:tcPr>
            <w:tcW w:w="2977" w:type="dxa"/>
            <w:shd w:val="clear" w:color="auto" w:fill="auto"/>
          </w:tcPr>
          <w:p w14:paraId="7F7C669B" w14:textId="77777777" w:rsidR="0074789A" w:rsidRPr="00CA06DE" w:rsidRDefault="003C135C" w:rsidP="004A23D1">
            <w:pPr>
              <w:pStyle w:val="BulletList1"/>
              <w:numPr>
                <w:ilvl w:val="0"/>
                <w:numId w:val="0"/>
              </w:numPr>
              <w:rPr>
                <w:rFonts w:ascii="Calibri" w:hAnsi="Calibri" w:cs="Calibri"/>
                <w:szCs w:val="22"/>
                <w:lang w:val="en-US"/>
              </w:rPr>
            </w:pPr>
            <w:r>
              <w:rPr>
                <w:rFonts w:ascii="Calibri" w:hAnsi="Calibri" w:cs="Calibri"/>
                <w:szCs w:val="22"/>
                <w:lang w:val="en-US"/>
              </w:rPr>
              <w:t>Microsoft Azure</w:t>
            </w:r>
          </w:p>
        </w:tc>
        <w:tc>
          <w:tcPr>
            <w:tcW w:w="6299" w:type="dxa"/>
            <w:shd w:val="clear" w:color="auto" w:fill="auto"/>
          </w:tcPr>
          <w:p w14:paraId="62794DC1" w14:textId="77777777" w:rsidR="0074789A" w:rsidRPr="00CA06DE" w:rsidRDefault="003C135C" w:rsidP="004A23D1">
            <w:pPr>
              <w:pStyle w:val="BulletList1"/>
              <w:numPr>
                <w:ilvl w:val="0"/>
                <w:numId w:val="0"/>
              </w:numPr>
              <w:rPr>
                <w:rFonts w:ascii="Calibri" w:hAnsi="Calibri" w:cs="Calibri"/>
                <w:szCs w:val="22"/>
                <w:lang w:val="en-US"/>
              </w:rPr>
            </w:pPr>
            <w:r>
              <w:rPr>
                <w:rFonts w:ascii="Calibri" w:hAnsi="Calibri" w:cs="Calibri"/>
                <w:szCs w:val="22"/>
                <w:lang w:val="en-US"/>
              </w:rPr>
              <w:t>Dublin (Ireland), Amsterdam (Holland)</w:t>
            </w:r>
          </w:p>
        </w:tc>
      </w:tr>
      <w:tr w:rsidR="0074789A" w:rsidRPr="00CA06DE" w14:paraId="3EAC6AAE" w14:textId="77777777" w:rsidTr="004A23D1">
        <w:tc>
          <w:tcPr>
            <w:tcW w:w="2977" w:type="dxa"/>
            <w:shd w:val="clear" w:color="auto" w:fill="auto"/>
          </w:tcPr>
          <w:p w14:paraId="019806F3" w14:textId="77777777" w:rsidR="0074789A" w:rsidRPr="00CA06DE" w:rsidRDefault="003C135C" w:rsidP="004A23D1">
            <w:pPr>
              <w:pStyle w:val="BulletList1"/>
              <w:numPr>
                <w:ilvl w:val="0"/>
                <w:numId w:val="0"/>
              </w:numPr>
              <w:rPr>
                <w:rFonts w:ascii="Calibri" w:hAnsi="Calibri" w:cs="Calibri"/>
                <w:szCs w:val="22"/>
                <w:lang w:val="en-US"/>
              </w:rPr>
            </w:pPr>
            <w:r>
              <w:rPr>
                <w:rFonts w:ascii="Calibri" w:hAnsi="Calibri" w:cs="Calibri"/>
                <w:szCs w:val="22"/>
                <w:lang w:val="en-US"/>
              </w:rPr>
              <w:t>MongoDB Atlas</w:t>
            </w:r>
          </w:p>
        </w:tc>
        <w:tc>
          <w:tcPr>
            <w:tcW w:w="6299" w:type="dxa"/>
            <w:shd w:val="clear" w:color="auto" w:fill="auto"/>
          </w:tcPr>
          <w:p w14:paraId="404F563E" w14:textId="77777777" w:rsidR="0074789A" w:rsidRPr="00CA06DE" w:rsidRDefault="003C135C" w:rsidP="004A23D1">
            <w:pPr>
              <w:pStyle w:val="BulletList1"/>
              <w:numPr>
                <w:ilvl w:val="0"/>
                <w:numId w:val="0"/>
              </w:numPr>
              <w:rPr>
                <w:rFonts w:ascii="Calibri" w:hAnsi="Calibri" w:cs="Calibri"/>
                <w:szCs w:val="22"/>
                <w:lang w:val="en-US"/>
              </w:rPr>
            </w:pPr>
            <w:r>
              <w:rPr>
                <w:rFonts w:ascii="Calibri" w:hAnsi="Calibri" w:cs="Calibri"/>
                <w:szCs w:val="22"/>
                <w:lang w:val="en-US"/>
              </w:rPr>
              <w:t>Dublin (Ireland), Amsterdam (Holland)</w:t>
            </w:r>
          </w:p>
        </w:tc>
      </w:tr>
      <w:tr w:rsidR="0074789A" w:rsidRPr="00CA06DE" w14:paraId="0136DF46" w14:textId="77777777" w:rsidTr="004A23D1">
        <w:tc>
          <w:tcPr>
            <w:tcW w:w="2977" w:type="dxa"/>
            <w:shd w:val="clear" w:color="auto" w:fill="auto"/>
          </w:tcPr>
          <w:p w14:paraId="77857890" w14:textId="77777777" w:rsidR="0074789A" w:rsidRPr="00CA06DE" w:rsidRDefault="003C135C" w:rsidP="004A23D1">
            <w:pPr>
              <w:pStyle w:val="BulletList1"/>
              <w:numPr>
                <w:ilvl w:val="0"/>
                <w:numId w:val="0"/>
              </w:numPr>
              <w:rPr>
                <w:rFonts w:ascii="Calibri" w:hAnsi="Calibri" w:cs="Calibri"/>
                <w:szCs w:val="22"/>
                <w:lang w:val="en-US"/>
              </w:rPr>
            </w:pPr>
            <w:proofErr w:type="spellStart"/>
            <w:r>
              <w:rPr>
                <w:rFonts w:ascii="Calibri" w:hAnsi="Calibri" w:cs="Calibri"/>
                <w:szCs w:val="22"/>
                <w:lang w:val="en-US"/>
              </w:rPr>
              <w:t>Hubspot</w:t>
            </w:r>
            <w:proofErr w:type="spellEnd"/>
          </w:p>
        </w:tc>
        <w:tc>
          <w:tcPr>
            <w:tcW w:w="6299" w:type="dxa"/>
            <w:shd w:val="clear" w:color="auto" w:fill="auto"/>
          </w:tcPr>
          <w:p w14:paraId="566F26F8" w14:textId="77777777" w:rsidR="0074789A" w:rsidRPr="00CA06DE" w:rsidRDefault="003C135C" w:rsidP="004A23D1">
            <w:pPr>
              <w:pStyle w:val="BulletList1"/>
              <w:numPr>
                <w:ilvl w:val="0"/>
                <w:numId w:val="0"/>
              </w:numPr>
              <w:rPr>
                <w:rFonts w:ascii="Calibri" w:hAnsi="Calibri" w:cs="Calibri"/>
                <w:szCs w:val="22"/>
                <w:lang w:val="en-US"/>
              </w:rPr>
            </w:pPr>
            <w:r>
              <w:rPr>
                <w:rFonts w:ascii="Calibri" w:hAnsi="Calibri" w:cs="Calibri"/>
                <w:szCs w:val="22"/>
                <w:lang w:val="en-US"/>
              </w:rPr>
              <w:t>Germany</w:t>
            </w:r>
          </w:p>
        </w:tc>
      </w:tr>
      <w:tr w:rsidR="0074789A" w:rsidRPr="00CA06DE" w14:paraId="374EDCDD" w14:textId="77777777" w:rsidTr="004A23D1">
        <w:tc>
          <w:tcPr>
            <w:tcW w:w="2977" w:type="dxa"/>
            <w:shd w:val="clear" w:color="auto" w:fill="auto"/>
          </w:tcPr>
          <w:p w14:paraId="3120387A" w14:textId="77777777" w:rsidR="0074789A" w:rsidRPr="00CA06DE" w:rsidRDefault="0074789A" w:rsidP="004A23D1">
            <w:pPr>
              <w:pStyle w:val="BulletList1"/>
              <w:numPr>
                <w:ilvl w:val="0"/>
                <w:numId w:val="0"/>
              </w:numPr>
              <w:rPr>
                <w:rFonts w:ascii="Calibri" w:hAnsi="Calibri" w:cs="Calibri"/>
                <w:szCs w:val="22"/>
                <w:lang w:val="en-US"/>
              </w:rPr>
            </w:pPr>
          </w:p>
        </w:tc>
        <w:tc>
          <w:tcPr>
            <w:tcW w:w="6299" w:type="dxa"/>
            <w:shd w:val="clear" w:color="auto" w:fill="auto"/>
          </w:tcPr>
          <w:p w14:paraId="3C237511" w14:textId="77777777" w:rsidR="0074789A" w:rsidRPr="00CA06DE" w:rsidRDefault="0074789A" w:rsidP="004A23D1">
            <w:pPr>
              <w:pStyle w:val="BulletList1"/>
              <w:numPr>
                <w:ilvl w:val="0"/>
                <w:numId w:val="0"/>
              </w:numPr>
              <w:rPr>
                <w:rFonts w:ascii="Calibri" w:hAnsi="Calibri" w:cs="Calibri"/>
                <w:szCs w:val="22"/>
                <w:lang w:val="en-US"/>
              </w:rPr>
            </w:pPr>
          </w:p>
        </w:tc>
      </w:tr>
    </w:tbl>
    <w:p w14:paraId="677BD79C" w14:textId="77777777" w:rsidR="00324144" w:rsidRPr="00CA06DE" w:rsidRDefault="00324144" w:rsidP="00CA06DE">
      <w:pPr>
        <w:pStyle w:val="BulletList1"/>
        <w:numPr>
          <w:ilvl w:val="0"/>
          <w:numId w:val="0"/>
        </w:numPr>
        <w:ind w:left="360" w:hanging="360"/>
        <w:rPr>
          <w:rFonts w:ascii="Calibri" w:hAnsi="Calibri" w:cs="Calibri"/>
          <w:szCs w:val="22"/>
          <w:lang w:val="en-US"/>
        </w:rPr>
      </w:pPr>
    </w:p>
    <w:p w14:paraId="150B66E6" w14:textId="77777777" w:rsidR="00324144" w:rsidRPr="00CA06DE" w:rsidRDefault="0056439C" w:rsidP="00CA06DE">
      <w:pPr>
        <w:pStyle w:val="Annex"/>
        <w:pageBreakBefore/>
        <w:numPr>
          <w:ilvl w:val="0"/>
          <w:numId w:val="0"/>
        </w:numPr>
        <w:rPr>
          <w:rFonts w:ascii="Calibri" w:hAnsi="Calibri" w:cs="Calibri"/>
          <w:szCs w:val="22"/>
          <w:lang w:val="en-US"/>
        </w:rPr>
      </w:pPr>
      <w:bookmarkStart w:id="94" w:name="a981375"/>
      <w:bookmarkStart w:id="95" w:name="_Toc256000017"/>
      <w:r w:rsidRPr="004A23D1">
        <w:rPr>
          <w:rFonts w:ascii="Calibri" w:hAnsi="Calibri" w:cs="Calibri"/>
          <w:szCs w:val="22"/>
          <w:lang w:val="en-US"/>
        </w:rPr>
        <w:lastRenderedPageBreak/>
        <w:t xml:space="preserve">Annex B: </w:t>
      </w:r>
      <w:r w:rsidR="00324144" w:rsidRPr="00CA06DE">
        <w:rPr>
          <w:rFonts w:ascii="Calibri" w:hAnsi="Calibri" w:cs="Calibri"/>
          <w:szCs w:val="22"/>
          <w:lang w:val="en-US"/>
        </w:rPr>
        <w:t>Security measures</w:t>
      </w:r>
      <w:bookmarkEnd w:id="94"/>
      <w:bookmarkEnd w:id="95"/>
    </w:p>
    <w:p w14:paraId="71773641" w14:textId="77777777" w:rsidR="00324144" w:rsidRDefault="00A85134" w:rsidP="00324144">
      <w:pPr>
        <w:pStyle w:val="Paragraph"/>
        <w:rPr>
          <w:rFonts w:ascii="Calibri" w:hAnsi="Calibri" w:cs="Calibri"/>
          <w:szCs w:val="22"/>
          <w:lang w:val="en-US"/>
        </w:rPr>
      </w:pPr>
      <w:r w:rsidRPr="004A23D1">
        <w:rPr>
          <w:rFonts w:ascii="Calibri" w:hAnsi="Calibri" w:cs="Calibri"/>
          <w:szCs w:val="22"/>
          <w:lang w:val="en-US"/>
        </w:rPr>
        <w:t>D</w:t>
      </w:r>
      <w:r w:rsidR="00324144" w:rsidRPr="00CA06DE">
        <w:rPr>
          <w:rFonts w:ascii="Calibri" w:hAnsi="Calibri" w:cs="Calibri"/>
          <w:szCs w:val="22"/>
          <w:lang w:val="en-US"/>
        </w:rPr>
        <w:t xml:space="preserve">escription of </w:t>
      </w:r>
      <w:r w:rsidRPr="004A23D1">
        <w:rPr>
          <w:rFonts w:ascii="Calibri" w:hAnsi="Calibri" w:cs="Calibri"/>
          <w:szCs w:val="22"/>
          <w:lang w:val="en-US"/>
        </w:rPr>
        <w:t xml:space="preserve">the Provider’s </w:t>
      </w:r>
      <w:r w:rsidR="00324144" w:rsidRPr="00CA06DE">
        <w:rPr>
          <w:rFonts w:ascii="Calibri" w:hAnsi="Calibri" w:cs="Calibri"/>
          <w:szCs w:val="22"/>
          <w:lang w:val="en-US"/>
        </w:rPr>
        <w:t xml:space="preserve">technical and </w:t>
      </w:r>
      <w:proofErr w:type="spellStart"/>
      <w:r w:rsidR="00324144" w:rsidRPr="00CA06DE">
        <w:rPr>
          <w:rFonts w:ascii="Calibri" w:hAnsi="Calibri" w:cs="Calibri"/>
          <w:szCs w:val="22"/>
          <w:lang w:val="en-US"/>
        </w:rPr>
        <w:t>organisational</w:t>
      </w:r>
      <w:proofErr w:type="spellEnd"/>
      <w:r w:rsidR="00324144" w:rsidRPr="00CA06DE">
        <w:rPr>
          <w:rFonts w:ascii="Calibri" w:hAnsi="Calibri" w:cs="Calibri"/>
          <w:szCs w:val="22"/>
          <w:lang w:val="en-US"/>
        </w:rPr>
        <w:t xml:space="preserve"> data security measures</w:t>
      </w:r>
      <w:r w:rsidRPr="004A23D1">
        <w:rPr>
          <w:rFonts w:ascii="Calibri" w:hAnsi="Calibri" w:cs="Calibri"/>
          <w:szCs w:val="22"/>
          <w:lang w:val="en-US"/>
        </w:rPr>
        <w:t xml:space="preserve">. </w:t>
      </w:r>
    </w:p>
    <w:p w14:paraId="05695E5E" w14:textId="77777777" w:rsidR="00FA4930" w:rsidRDefault="00FA4930" w:rsidP="00FA4930">
      <w:pPr>
        <w:pStyle w:val="Heading2"/>
        <w:shd w:val="clear" w:color="auto" w:fill="FFFFFF"/>
        <w:spacing w:before="432"/>
        <w:rPr>
          <w:rFonts w:ascii="Calibri" w:hAnsi="Calibri" w:cs="Calibri"/>
          <w:b w:val="0"/>
          <w:bCs w:val="0"/>
          <w:color w:val="auto"/>
          <w:spacing w:val="-2"/>
          <w:sz w:val="34"/>
          <w:szCs w:val="34"/>
          <w:lang w:val="en-US" w:eastAsia="en-US"/>
        </w:rPr>
      </w:pPr>
      <w:r>
        <w:rPr>
          <w:rFonts w:ascii="Calibri" w:hAnsi="Calibri" w:cs="Calibri"/>
          <w:b w:val="0"/>
          <w:bCs w:val="0"/>
          <w:color w:val="auto"/>
          <w:spacing w:val="-2"/>
          <w:sz w:val="34"/>
          <w:szCs w:val="34"/>
        </w:rPr>
        <w:t>System and data access controls</w:t>
      </w:r>
    </w:p>
    <w:p w14:paraId="3655EE47" w14:textId="77777777" w:rsidR="00FA4930" w:rsidRDefault="00FA4930" w:rsidP="00FA4930">
      <w:pPr>
        <w:pStyle w:val="NormalWeb"/>
        <w:shd w:val="clear" w:color="auto" w:fill="FFFFFF"/>
        <w:rPr>
          <w:rFonts w:ascii="Calibri" w:hAnsi="Calibri" w:cs="Calibri"/>
          <w:color w:val="auto"/>
          <w:spacing w:val="-1"/>
          <w:sz w:val="22"/>
          <w:szCs w:val="22"/>
        </w:rPr>
      </w:pPr>
      <w:r>
        <w:rPr>
          <w:rFonts w:ascii="Calibri" w:hAnsi="Calibri" w:cs="Calibri"/>
          <w:color w:val="auto"/>
          <w:spacing w:val="-1"/>
          <w:sz w:val="22"/>
          <w:szCs w:val="22"/>
        </w:rPr>
        <w:t>Authentication: We implement a uniform password policy for our customer products. Customers who interact with the products via the user interface must authenticate before accessing non-public customer data. The platform also enforces 2FA as part of the initial authentication mechanics.</w:t>
      </w:r>
    </w:p>
    <w:p w14:paraId="19A2E121" w14:textId="77777777" w:rsidR="00FA4930" w:rsidRDefault="00FA4930" w:rsidP="00FA4930">
      <w:pPr>
        <w:pStyle w:val="NormalWeb"/>
        <w:shd w:val="clear" w:color="auto" w:fill="FFFFFF"/>
        <w:rPr>
          <w:rFonts w:ascii="Calibri" w:hAnsi="Calibri" w:cs="Calibri"/>
          <w:color w:val="auto"/>
          <w:spacing w:val="-1"/>
          <w:sz w:val="22"/>
          <w:szCs w:val="22"/>
        </w:rPr>
      </w:pPr>
      <w:r>
        <w:rPr>
          <w:rFonts w:ascii="Calibri" w:hAnsi="Calibri" w:cs="Calibri"/>
          <w:color w:val="auto"/>
          <w:spacing w:val="-1"/>
          <w:sz w:val="22"/>
          <w:szCs w:val="22"/>
        </w:rPr>
        <w:t>Authorisation: Customer Data is stored in multi-tenant storage systems accessible to Customers only via application user interfaces. Customers are not allowed direct access to the underlying application infrastructure. The authorisation model in each of our products is designed to ensure that only the appropriately assigned individuals can access relevant features, views, and customisation options. Authorisation to data sets is performed through validating the user’s permissions against the attributes associated with each data set.</w:t>
      </w:r>
    </w:p>
    <w:p w14:paraId="18A35F78" w14:textId="77777777" w:rsidR="00FA4930" w:rsidRDefault="00FA4930" w:rsidP="00FA4930">
      <w:pPr>
        <w:pStyle w:val="Heading2"/>
        <w:shd w:val="clear" w:color="auto" w:fill="FFFFFF"/>
        <w:spacing w:before="432"/>
        <w:rPr>
          <w:rFonts w:ascii="Calibri" w:hAnsi="Calibri" w:cs="Calibri"/>
          <w:b w:val="0"/>
          <w:bCs w:val="0"/>
          <w:color w:val="auto"/>
          <w:spacing w:val="-2"/>
          <w:sz w:val="34"/>
          <w:szCs w:val="34"/>
        </w:rPr>
      </w:pPr>
      <w:r>
        <w:rPr>
          <w:rFonts w:ascii="Calibri" w:hAnsi="Calibri" w:cs="Calibri"/>
          <w:b w:val="0"/>
          <w:bCs w:val="0"/>
          <w:color w:val="auto"/>
          <w:spacing w:val="-2"/>
          <w:sz w:val="34"/>
          <w:szCs w:val="34"/>
        </w:rPr>
        <w:t>Transmission controls</w:t>
      </w:r>
    </w:p>
    <w:p w14:paraId="4E924613" w14:textId="77777777" w:rsidR="00FA4930" w:rsidRDefault="00FA4930" w:rsidP="00FA4930">
      <w:pPr>
        <w:pStyle w:val="NormalWeb"/>
        <w:shd w:val="clear" w:color="auto" w:fill="FFFFFF"/>
        <w:rPr>
          <w:rFonts w:ascii="Calibri" w:hAnsi="Calibri" w:cs="Calibri"/>
          <w:color w:val="auto"/>
          <w:spacing w:val="-1"/>
          <w:sz w:val="22"/>
          <w:szCs w:val="22"/>
        </w:rPr>
      </w:pPr>
      <w:r>
        <w:rPr>
          <w:rFonts w:ascii="Calibri" w:hAnsi="Calibri" w:cs="Calibri"/>
          <w:color w:val="auto"/>
          <w:spacing w:val="-1"/>
          <w:sz w:val="22"/>
          <w:szCs w:val="22"/>
        </w:rPr>
        <w:t>In-transit: We require HTTPS encryption (also referred to as SSL or TLS) on all login interfaces and on all parts of the platform. Our HTTPS implementation uses industry standard algorithms and certificates.</w:t>
      </w:r>
    </w:p>
    <w:p w14:paraId="5C972BAE" w14:textId="77777777" w:rsidR="00FA4930" w:rsidRDefault="00FA4930" w:rsidP="00FA4930">
      <w:pPr>
        <w:pStyle w:val="NormalWeb"/>
        <w:shd w:val="clear" w:color="auto" w:fill="FFFFFF"/>
        <w:rPr>
          <w:rFonts w:ascii="Calibri" w:hAnsi="Calibri" w:cs="Calibri"/>
          <w:color w:val="auto"/>
          <w:spacing w:val="-1"/>
          <w:sz w:val="22"/>
          <w:szCs w:val="22"/>
        </w:rPr>
      </w:pPr>
      <w:r>
        <w:rPr>
          <w:rFonts w:ascii="Calibri" w:hAnsi="Calibri" w:cs="Calibri"/>
          <w:color w:val="auto"/>
          <w:spacing w:val="-1"/>
          <w:sz w:val="22"/>
          <w:szCs w:val="22"/>
        </w:rPr>
        <w:t>At-rest: We store user passwords following policies that follow industry standard practices for security.  We have implemented technologies to ensure that stored data is encrypted at rest. </w:t>
      </w:r>
    </w:p>
    <w:p w14:paraId="2E7397D1" w14:textId="77777777" w:rsidR="00FA4930" w:rsidRDefault="00FA4930" w:rsidP="00FA4930">
      <w:pPr>
        <w:pStyle w:val="Heading2"/>
        <w:shd w:val="clear" w:color="auto" w:fill="FFFFFF"/>
        <w:spacing w:before="432"/>
        <w:rPr>
          <w:rFonts w:ascii="Calibri" w:hAnsi="Calibri" w:cs="Calibri"/>
          <w:b w:val="0"/>
          <w:bCs w:val="0"/>
          <w:color w:val="auto"/>
          <w:spacing w:val="-2"/>
          <w:sz w:val="34"/>
          <w:szCs w:val="34"/>
        </w:rPr>
      </w:pPr>
      <w:r>
        <w:rPr>
          <w:rFonts w:ascii="Calibri" w:hAnsi="Calibri" w:cs="Calibri"/>
          <w:b w:val="0"/>
          <w:bCs w:val="0"/>
          <w:color w:val="auto"/>
          <w:spacing w:val="-2"/>
          <w:sz w:val="34"/>
          <w:szCs w:val="34"/>
        </w:rPr>
        <w:t>Input controls</w:t>
      </w:r>
    </w:p>
    <w:p w14:paraId="2393EC18" w14:textId="77777777" w:rsidR="00FA4930" w:rsidRDefault="00FA4930" w:rsidP="00FA4930">
      <w:pPr>
        <w:pStyle w:val="NormalWeb"/>
        <w:shd w:val="clear" w:color="auto" w:fill="FFFFFF"/>
        <w:rPr>
          <w:rFonts w:ascii="Calibri" w:hAnsi="Calibri" w:cs="Calibri"/>
          <w:color w:val="auto"/>
          <w:spacing w:val="-1"/>
          <w:sz w:val="22"/>
          <w:szCs w:val="22"/>
        </w:rPr>
      </w:pPr>
      <w:r>
        <w:rPr>
          <w:rFonts w:ascii="Calibri" w:hAnsi="Calibri" w:cs="Calibri"/>
          <w:color w:val="auto"/>
          <w:spacing w:val="-1"/>
          <w:sz w:val="22"/>
          <w:szCs w:val="22"/>
        </w:rPr>
        <w:t>Detection: We designed our platform and infrastructure to log extensive information about the system behaviour, traffic received, authentication, and other application requests. Internal systems aggregate log data and alert appropriate employees of malicious, unintended, or anomalous activities. Our personnel, including security, operations, and support personnel, are responsive to known incidents.</w:t>
      </w:r>
    </w:p>
    <w:p w14:paraId="7CD50CE9" w14:textId="77777777" w:rsidR="00FA4930" w:rsidRDefault="00FA4930" w:rsidP="00FA4930">
      <w:pPr>
        <w:pStyle w:val="NormalWeb"/>
        <w:shd w:val="clear" w:color="auto" w:fill="FFFFFF"/>
        <w:rPr>
          <w:rFonts w:ascii="Calibri" w:hAnsi="Calibri" w:cs="Calibri"/>
          <w:color w:val="auto"/>
          <w:spacing w:val="-1"/>
          <w:sz w:val="22"/>
          <w:szCs w:val="22"/>
        </w:rPr>
      </w:pPr>
      <w:r>
        <w:rPr>
          <w:rFonts w:ascii="Calibri" w:hAnsi="Calibri" w:cs="Calibri"/>
          <w:color w:val="auto"/>
          <w:spacing w:val="-1"/>
          <w:sz w:val="22"/>
          <w:szCs w:val="22"/>
        </w:rPr>
        <w:t>Response and tracking: We maintain a record of known security incidents that includes description, dates and times of relevant activities, and incident disposition. Suspected and confirmed security incidents are investigated by security, operations, or support personnel. Appropriate resolution steps are identified and documented. For any confirmed incidents, we will take appropriate steps to minimise product and customer damage or unauthorised disclosure.</w:t>
      </w:r>
    </w:p>
    <w:p w14:paraId="145D4FB1" w14:textId="77777777" w:rsidR="00FA4930" w:rsidRDefault="00FA4930" w:rsidP="00FA4930">
      <w:pPr>
        <w:pStyle w:val="Heading2"/>
        <w:shd w:val="clear" w:color="auto" w:fill="FFFFFF"/>
        <w:spacing w:before="432"/>
        <w:rPr>
          <w:rFonts w:ascii="Calibri" w:hAnsi="Calibri" w:cs="Calibri"/>
          <w:b w:val="0"/>
          <w:bCs w:val="0"/>
          <w:color w:val="auto"/>
          <w:spacing w:val="-2"/>
          <w:sz w:val="34"/>
          <w:szCs w:val="34"/>
        </w:rPr>
      </w:pPr>
      <w:r>
        <w:rPr>
          <w:rFonts w:ascii="Calibri" w:hAnsi="Calibri" w:cs="Calibri"/>
          <w:b w:val="0"/>
          <w:bCs w:val="0"/>
          <w:color w:val="auto"/>
          <w:spacing w:val="-2"/>
          <w:sz w:val="34"/>
          <w:szCs w:val="34"/>
        </w:rPr>
        <w:t>Data backups</w:t>
      </w:r>
    </w:p>
    <w:p w14:paraId="5AC6F551" w14:textId="77777777" w:rsidR="00FA4930" w:rsidRDefault="00FA4930" w:rsidP="00FA4930">
      <w:pPr>
        <w:pStyle w:val="NormalWeb"/>
        <w:shd w:val="clear" w:color="auto" w:fill="FFFFFF"/>
        <w:rPr>
          <w:rFonts w:ascii="Calibri" w:hAnsi="Calibri" w:cs="Calibri"/>
          <w:color w:val="auto"/>
          <w:spacing w:val="-1"/>
          <w:sz w:val="22"/>
          <w:szCs w:val="22"/>
        </w:rPr>
      </w:pPr>
      <w:r>
        <w:rPr>
          <w:rFonts w:ascii="Calibri" w:hAnsi="Calibri" w:cs="Calibri"/>
          <w:color w:val="auto"/>
          <w:spacing w:val="-1"/>
          <w:sz w:val="22"/>
          <w:szCs w:val="22"/>
        </w:rPr>
        <w:t xml:space="preserve">Data is backed up with incremental snapshots of the data </w:t>
      </w:r>
      <w:r>
        <w:rPr>
          <w:rStyle w:val="Strong"/>
          <w:rFonts w:ascii="Calibri" w:hAnsi="Calibri" w:cs="Calibri"/>
          <w:color w:val="auto"/>
          <w:spacing w:val="-1"/>
          <w:sz w:val="22"/>
          <w:szCs w:val="22"/>
        </w:rPr>
        <w:t>every six hours</w:t>
      </w:r>
      <w:r>
        <w:rPr>
          <w:rFonts w:ascii="Calibri" w:hAnsi="Calibri" w:cs="Calibri"/>
          <w:color w:val="auto"/>
          <w:spacing w:val="-1"/>
          <w:sz w:val="22"/>
          <w:szCs w:val="22"/>
        </w:rPr>
        <w:t>. This data can be restored from a selected point in time within the last 72 hours. We also take daily snapshots and retains these daily snapshots for 35 days.</w:t>
      </w:r>
    </w:p>
    <w:p w14:paraId="1DBE1139" w14:textId="77777777" w:rsidR="00FA4930" w:rsidRDefault="00FA4930" w:rsidP="00FA4930">
      <w:pPr>
        <w:pStyle w:val="Heading2"/>
        <w:shd w:val="clear" w:color="auto" w:fill="FFFFFF"/>
        <w:spacing w:before="432"/>
        <w:rPr>
          <w:rFonts w:ascii="Calibri" w:hAnsi="Calibri" w:cs="Calibri"/>
          <w:b w:val="0"/>
          <w:bCs w:val="0"/>
          <w:color w:val="auto"/>
          <w:spacing w:val="-2"/>
          <w:sz w:val="34"/>
          <w:szCs w:val="34"/>
        </w:rPr>
      </w:pPr>
      <w:r>
        <w:rPr>
          <w:rFonts w:ascii="Calibri" w:hAnsi="Calibri" w:cs="Calibri"/>
          <w:b w:val="0"/>
          <w:bCs w:val="0"/>
          <w:color w:val="auto"/>
          <w:spacing w:val="-2"/>
          <w:sz w:val="34"/>
          <w:szCs w:val="34"/>
        </w:rPr>
        <w:t>Data segregation</w:t>
      </w:r>
    </w:p>
    <w:p w14:paraId="1FA787A8" w14:textId="77777777" w:rsidR="00FA4930" w:rsidRDefault="00FA4930" w:rsidP="00FA4930">
      <w:pPr>
        <w:pStyle w:val="NormalWeb"/>
        <w:shd w:val="clear" w:color="auto" w:fill="FFFFFF"/>
        <w:rPr>
          <w:rFonts w:ascii="Calibri" w:hAnsi="Calibri" w:cs="Calibri"/>
          <w:color w:val="auto"/>
          <w:spacing w:val="-1"/>
          <w:sz w:val="22"/>
          <w:szCs w:val="22"/>
        </w:rPr>
      </w:pPr>
      <w:r>
        <w:rPr>
          <w:rFonts w:ascii="Calibri" w:hAnsi="Calibri" w:cs="Calibri"/>
          <w:color w:val="auto"/>
          <w:spacing w:val="-1"/>
          <w:sz w:val="22"/>
          <w:szCs w:val="22"/>
        </w:rPr>
        <w:t xml:space="preserve">Data is logically segregated and accessed by using user specific access tokens that is made available after successful login to the platform. Each access token has authorisation rules built in making sure access can be given and restricted on an individual user basis. </w:t>
      </w:r>
    </w:p>
    <w:sectPr w:rsidR="00FA4930" w:rsidSect="00CA06DE">
      <w:footerReference w:type="default" r:id="rId14"/>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8F356" w14:textId="77777777" w:rsidR="00B903C7" w:rsidRDefault="00B903C7" w:rsidP="00324144">
      <w:pPr>
        <w:spacing w:after="0" w:line="240" w:lineRule="auto"/>
      </w:pPr>
      <w:r>
        <w:separator/>
      </w:r>
    </w:p>
  </w:endnote>
  <w:endnote w:type="continuationSeparator" w:id="0">
    <w:p w14:paraId="4B0126D9" w14:textId="77777777" w:rsidR="00B903C7" w:rsidRDefault="00B903C7" w:rsidP="0032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D770" w14:textId="77777777" w:rsidR="00324144" w:rsidRDefault="002F180D" w:rsidP="00CA06DE">
    <w:pPr>
      <w:ind w:left="2880" w:firstLine="720"/>
    </w:pPr>
    <w:r w:rsidRPr="00A95C50">
      <w:rPr>
        <w:sz w:val="16"/>
        <w:szCs w:val="16"/>
      </w:rPr>
      <w:t xml:space="preserve">Page </w:t>
    </w:r>
    <w:r w:rsidRPr="00A95C50">
      <w:rPr>
        <w:b/>
        <w:bCs/>
        <w:sz w:val="16"/>
        <w:szCs w:val="16"/>
      </w:rPr>
      <w:fldChar w:fldCharType="begin"/>
    </w:r>
    <w:r w:rsidRPr="00A95C50">
      <w:rPr>
        <w:b/>
        <w:bCs/>
        <w:sz w:val="16"/>
        <w:szCs w:val="16"/>
      </w:rPr>
      <w:instrText xml:space="preserve"> PAGE </w:instrText>
    </w:r>
    <w:r w:rsidRPr="00A95C50">
      <w:rPr>
        <w:b/>
        <w:bCs/>
        <w:sz w:val="16"/>
        <w:szCs w:val="16"/>
      </w:rPr>
      <w:fldChar w:fldCharType="separate"/>
    </w:r>
    <w:r>
      <w:rPr>
        <w:b/>
        <w:bCs/>
        <w:sz w:val="16"/>
        <w:szCs w:val="16"/>
      </w:rPr>
      <w:t>1</w:t>
    </w:r>
    <w:r w:rsidRPr="00A95C50">
      <w:rPr>
        <w:b/>
        <w:bCs/>
        <w:sz w:val="16"/>
        <w:szCs w:val="16"/>
      </w:rPr>
      <w:fldChar w:fldCharType="end"/>
    </w:r>
    <w:r w:rsidRPr="00A95C50">
      <w:rPr>
        <w:sz w:val="16"/>
        <w:szCs w:val="16"/>
      </w:rPr>
      <w:t xml:space="preserve"> of </w:t>
    </w:r>
    <w:r w:rsidRPr="00A95C50">
      <w:rPr>
        <w:b/>
        <w:bCs/>
        <w:sz w:val="16"/>
        <w:szCs w:val="16"/>
      </w:rPr>
      <w:fldChar w:fldCharType="begin"/>
    </w:r>
    <w:r w:rsidRPr="00A95C50">
      <w:rPr>
        <w:b/>
        <w:bCs/>
        <w:sz w:val="16"/>
        <w:szCs w:val="16"/>
      </w:rPr>
      <w:instrText xml:space="preserve"> NUMPAGES  </w:instrText>
    </w:r>
    <w:r w:rsidRPr="00A95C50">
      <w:rPr>
        <w:b/>
        <w:bCs/>
        <w:sz w:val="16"/>
        <w:szCs w:val="16"/>
      </w:rPr>
      <w:fldChar w:fldCharType="separate"/>
    </w:r>
    <w:r>
      <w:rPr>
        <w:b/>
        <w:bCs/>
        <w:sz w:val="16"/>
        <w:szCs w:val="16"/>
      </w:rPr>
      <w:t>1</w:t>
    </w:r>
    <w:r w:rsidRPr="00A95C50">
      <w:rPr>
        <w:b/>
        <w:bCs/>
        <w:sz w:val="16"/>
        <w:szCs w:val="16"/>
      </w:rPr>
      <w:fldChar w:fldCharType="end"/>
    </w:r>
    <w:r>
      <w:rPr>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E7C3" w14:textId="77777777" w:rsidR="00B903C7" w:rsidRDefault="00B903C7" w:rsidP="00324144">
      <w:pPr>
        <w:spacing w:after="0" w:line="240" w:lineRule="auto"/>
      </w:pPr>
      <w:r>
        <w:separator/>
      </w:r>
    </w:p>
  </w:footnote>
  <w:footnote w:type="continuationSeparator" w:id="0">
    <w:p w14:paraId="0D2728FD" w14:textId="77777777" w:rsidR="00B903C7" w:rsidRDefault="00B903C7" w:rsidP="00324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FFFFFFFF">
      <w:start w:val="1"/>
      <w:numFmt w:val="bullet"/>
      <w:pStyle w:val="DefinedTermBullet"/>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FFFFFFFF">
      <w:start w:val="1"/>
      <w:numFmt w:val="lowerLetter"/>
      <w:lvlText w:val="%1)"/>
      <w:lvlJc w:val="left"/>
      <w:pPr>
        <w:ind w:left="1714" w:hanging="360"/>
      </w:pPr>
      <w:rPr>
        <w:color w:val="000000"/>
      </w:rPr>
    </w:lvl>
    <w:lvl w:ilvl="1" w:tplc="FFFFFFFF" w:tentative="1">
      <w:start w:val="1"/>
      <w:numFmt w:val="lowerLetter"/>
      <w:lvlText w:val="%2."/>
      <w:lvlJc w:val="left"/>
      <w:pPr>
        <w:ind w:left="2434" w:hanging="360"/>
      </w:pPr>
    </w:lvl>
    <w:lvl w:ilvl="2" w:tplc="FFFFFFFF" w:tentative="1">
      <w:start w:val="1"/>
      <w:numFmt w:val="lowerRoman"/>
      <w:lvlText w:val="%3."/>
      <w:lvlJc w:val="right"/>
      <w:pPr>
        <w:ind w:left="3154" w:hanging="180"/>
      </w:pPr>
    </w:lvl>
    <w:lvl w:ilvl="3" w:tplc="FFFFFFFF" w:tentative="1">
      <w:start w:val="1"/>
      <w:numFmt w:val="decimal"/>
      <w:lvlText w:val="%4."/>
      <w:lvlJc w:val="left"/>
      <w:pPr>
        <w:ind w:left="3874" w:hanging="360"/>
      </w:pPr>
    </w:lvl>
    <w:lvl w:ilvl="4" w:tplc="FFFFFFFF" w:tentative="1">
      <w:start w:val="1"/>
      <w:numFmt w:val="lowerLetter"/>
      <w:lvlText w:val="%5."/>
      <w:lvlJc w:val="left"/>
      <w:pPr>
        <w:ind w:left="4594" w:hanging="360"/>
      </w:pPr>
    </w:lvl>
    <w:lvl w:ilvl="5" w:tplc="FFFFFFFF" w:tentative="1">
      <w:start w:val="1"/>
      <w:numFmt w:val="lowerRoman"/>
      <w:lvlText w:val="%6."/>
      <w:lvlJc w:val="right"/>
      <w:pPr>
        <w:ind w:left="5314" w:hanging="180"/>
      </w:pPr>
    </w:lvl>
    <w:lvl w:ilvl="6" w:tplc="FFFFFFFF" w:tentative="1">
      <w:start w:val="1"/>
      <w:numFmt w:val="decimal"/>
      <w:lvlText w:val="%7."/>
      <w:lvlJc w:val="left"/>
      <w:pPr>
        <w:ind w:left="6034" w:hanging="360"/>
      </w:pPr>
    </w:lvl>
    <w:lvl w:ilvl="7" w:tplc="FFFFFFFF" w:tentative="1">
      <w:start w:val="1"/>
      <w:numFmt w:val="lowerLetter"/>
      <w:lvlText w:val="%8."/>
      <w:lvlJc w:val="left"/>
      <w:pPr>
        <w:ind w:left="6754" w:hanging="360"/>
      </w:pPr>
    </w:lvl>
    <w:lvl w:ilvl="8" w:tplc="FFFFFFFF"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FFFFFFFF">
      <w:start w:val="1"/>
      <w:numFmt w:val="decimal"/>
      <w:lvlText w:val="Schedule %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FFFFFFFF">
      <w:start w:val="1"/>
      <w:numFmt w:val="decimal"/>
      <w:pStyle w:val="ScheduleHeading-Single"/>
      <w:lvlText w:val="Schedule"/>
      <w:lvlJc w:val="left"/>
      <w:pPr>
        <w:tabs>
          <w:tab w:val="num" w:pos="720"/>
        </w:tabs>
        <w:ind w:left="720" w:hanging="72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FFFFFFFF">
      <w:start w:val="1"/>
      <w:numFmt w:val="decimal"/>
      <w:lvlText w:val="Part %1"/>
      <w:lvlJc w:val="left"/>
      <w:pPr>
        <w:ind w:left="720" w:hanging="360"/>
      </w:pPr>
      <w:rPr>
        <w:rFonts w:hint="default"/>
        <w:b/>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FFFFFFFF">
      <w:start w:val="1"/>
      <w:numFmt w:val="decimal"/>
      <w:pStyle w:val="QuestionParagraph"/>
      <w:lvlText w:val="%1."/>
      <w:lvlJc w:val="left"/>
      <w:pPr>
        <w:ind w:left="720" w:hanging="360"/>
      </w:pPr>
      <w:rPr>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B92720"/>
    <w:multiLevelType w:val="multilevel"/>
    <w:tmpl w:val="3EF82A2E"/>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0416CA"/>
    <w:multiLevelType w:val="hybridMultilevel"/>
    <w:tmpl w:val="072EDEC8"/>
    <w:lvl w:ilvl="0" w:tplc="FFFFFFFF">
      <w:start w:val="1"/>
      <w:numFmt w:val="bullet"/>
      <w:pStyle w:val="subclause2Bullet2"/>
      <w:lvlText w:val=""/>
      <w:lvlJc w:val="left"/>
      <w:pPr>
        <w:ind w:left="2279" w:hanging="360"/>
      </w:pPr>
      <w:rPr>
        <w:rFonts w:ascii="Symbol" w:hAnsi="Symbol" w:hint="default"/>
        <w:color w:val="000000"/>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23" w15:restartNumberingAfterBreak="0">
    <w:nsid w:val="31E9741F"/>
    <w:multiLevelType w:val="hybridMultilevel"/>
    <w:tmpl w:val="0CAC7D4E"/>
    <w:lvl w:ilvl="0" w:tplc="FFFFFFFF">
      <w:start w:val="1"/>
      <w:numFmt w:val="bullet"/>
      <w:pStyle w:val="BulletList2"/>
      <w:lvlText w:val=""/>
      <w:lvlJc w:val="left"/>
      <w:pPr>
        <w:tabs>
          <w:tab w:val="num" w:pos="1077"/>
        </w:tabs>
        <w:ind w:left="1077"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CC668D"/>
    <w:multiLevelType w:val="hybridMultilevel"/>
    <w:tmpl w:val="594C4DAE"/>
    <w:lvl w:ilvl="0" w:tplc="FFFFFFFF">
      <w:start w:val="1"/>
      <w:numFmt w:val="bullet"/>
      <w:pStyle w:val="Bullet4"/>
      <w:lvlText w:val=""/>
      <w:lvlJc w:val="left"/>
      <w:pPr>
        <w:tabs>
          <w:tab w:val="num" w:pos="2676"/>
        </w:tabs>
        <w:ind w:left="2676"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6"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02E6DC1"/>
    <w:multiLevelType w:val="hybridMultilevel"/>
    <w:tmpl w:val="8AAEB3E8"/>
    <w:lvl w:ilvl="0" w:tplc="FFFFFFFF">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4D67987"/>
    <w:multiLevelType w:val="hybridMultilevel"/>
    <w:tmpl w:val="EBD6FB80"/>
    <w:lvl w:ilvl="0" w:tplc="FFFFFFFF">
      <w:start w:val="1"/>
      <w:numFmt w:val="bullet"/>
      <w:pStyle w:val="subclause1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44E96665"/>
    <w:multiLevelType w:val="hybridMultilevel"/>
    <w:tmpl w:val="EF1E142A"/>
    <w:lvl w:ilvl="0" w:tplc="FFFFFFFF">
      <w:start w:val="1"/>
      <w:numFmt w:val="bullet"/>
      <w:pStyle w:val="subclause3Bullet1"/>
      <w:lvlText w:val=""/>
      <w:lvlJc w:val="left"/>
      <w:pPr>
        <w:ind w:left="2988" w:hanging="360"/>
      </w:pPr>
      <w:rPr>
        <w:rFonts w:ascii="Symbol" w:hAnsi="Symbol" w:hint="default"/>
        <w:color w:val="000000"/>
      </w:rPr>
    </w:lvl>
    <w:lvl w:ilvl="1" w:tplc="FFFFFFFF" w:tentative="1">
      <w:start w:val="1"/>
      <w:numFmt w:val="bullet"/>
      <w:lvlText w:val="o"/>
      <w:lvlJc w:val="left"/>
      <w:pPr>
        <w:ind w:left="3708" w:hanging="360"/>
      </w:pPr>
      <w:rPr>
        <w:rFonts w:ascii="Courier New" w:hAnsi="Courier New" w:cs="Courier New" w:hint="default"/>
      </w:rPr>
    </w:lvl>
    <w:lvl w:ilvl="2" w:tplc="FFFFFFFF" w:tentative="1">
      <w:start w:val="1"/>
      <w:numFmt w:val="bullet"/>
      <w:lvlText w:val=""/>
      <w:lvlJc w:val="left"/>
      <w:pPr>
        <w:ind w:left="4428" w:hanging="360"/>
      </w:pPr>
      <w:rPr>
        <w:rFonts w:ascii="Wingdings" w:hAnsi="Wingdings"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cs="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cs="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30" w15:restartNumberingAfterBreak="0">
    <w:nsid w:val="46AC04C6"/>
    <w:multiLevelType w:val="hybridMultilevel"/>
    <w:tmpl w:val="E6C47700"/>
    <w:lvl w:ilvl="0" w:tplc="FFFFFFFF">
      <w:start w:val="1"/>
      <w:numFmt w:val="bullet"/>
      <w:pStyle w:val="subclause2Bullet1"/>
      <w:lvlText w:val=""/>
      <w:lvlJc w:val="left"/>
      <w:pPr>
        <w:ind w:left="2279" w:hanging="360"/>
      </w:pPr>
      <w:rPr>
        <w:rFonts w:ascii="Symbol" w:hAnsi="Symbol" w:hint="default"/>
        <w:color w:val="000000"/>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31"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55CB0AF0"/>
    <w:multiLevelType w:val="hybridMultilevel"/>
    <w:tmpl w:val="EB98B43A"/>
    <w:lvl w:ilvl="0" w:tplc="FFFFFFFF">
      <w:start w:val="1"/>
      <w:numFmt w:val="decimal"/>
      <w:pStyle w:val="LongQuestionPara"/>
      <w:lvlText w:val="%1."/>
      <w:lvlJc w:val="left"/>
      <w:pPr>
        <w:ind w:left="360" w:hanging="360"/>
      </w:pPr>
      <w:rPr>
        <w:rFonts w:hint="default"/>
        <w:b/>
        <w:i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15:restartNumberingAfterBreak="0">
    <w:nsid w:val="5D206610"/>
    <w:multiLevelType w:val="hybridMultilevel"/>
    <w:tmpl w:val="31700046"/>
    <w:lvl w:ilvl="0" w:tplc="FFFFFFFF">
      <w:start w:val="1"/>
      <w:numFmt w:val="lowerLetter"/>
      <w:lvlText w:val="(%1)"/>
      <w:lvlJc w:val="left"/>
      <w:pPr>
        <w:ind w:left="1440"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42371CD"/>
    <w:multiLevelType w:val="hybridMultilevel"/>
    <w:tmpl w:val="3B76A654"/>
    <w:lvl w:ilvl="0" w:tplc="FFFFFFFF">
      <w:start w:val="1"/>
      <w:numFmt w:val="bullet"/>
      <w:pStyle w:val="subclause3Bullet2"/>
      <w:lvlText w:val=""/>
      <w:lvlJc w:val="left"/>
      <w:pPr>
        <w:ind w:left="3748" w:hanging="360"/>
      </w:pPr>
      <w:rPr>
        <w:rFonts w:ascii="Symbol" w:hAnsi="Symbol" w:hint="default"/>
        <w:color w:val="000000"/>
      </w:rPr>
    </w:lvl>
    <w:lvl w:ilvl="1" w:tplc="FFFFFFFF" w:tentative="1">
      <w:start w:val="1"/>
      <w:numFmt w:val="bullet"/>
      <w:lvlText w:val="o"/>
      <w:lvlJc w:val="left"/>
      <w:pPr>
        <w:ind w:left="4468" w:hanging="360"/>
      </w:pPr>
      <w:rPr>
        <w:rFonts w:ascii="Courier New" w:hAnsi="Courier New" w:cs="Courier New" w:hint="default"/>
      </w:rPr>
    </w:lvl>
    <w:lvl w:ilvl="2" w:tplc="FFFFFFFF" w:tentative="1">
      <w:start w:val="1"/>
      <w:numFmt w:val="bullet"/>
      <w:lvlText w:val=""/>
      <w:lvlJc w:val="left"/>
      <w:pPr>
        <w:ind w:left="5188" w:hanging="360"/>
      </w:pPr>
      <w:rPr>
        <w:rFonts w:ascii="Wingdings" w:hAnsi="Wingdings" w:hint="default"/>
      </w:rPr>
    </w:lvl>
    <w:lvl w:ilvl="3" w:tplc="FFFFFFFF" w:tentative="1">
      <w:start w:val="1"/>
      <w:numFmt w:val="bullet"/>
      <w:lvlText w:val=""/>
      <w:lvlJc w:val="left"/>
      <w:pPr>
        <w:ind w:left="5908" w:hanging="360"/>
      </w:pPr>
      <w:rPr>
        <w:rFonts w:ascii="Symbol" w:hAnsi="Symbol" w:hint="default"/>
      </w:rPr>
    </w:lvl>
    <w:lvl w:ilvl="4" w:tplc="FFFFFFFF" w:tentative="1">
      <w:start w:val="1"/>
      <w:numFmt w:val="bullet"/>
      <w:lvlText w:val="o"/>
      <w:lvlJc w:val="left"/>
      <w:pPr>
        <w:ind w:left="6628" w:hanging="360"/>
      </w:pPr>
      <w:rPr>
        <w:rFonts w:ascii="Courier New" w:hAnsi="Courier New" w:cs="Courier New" w:hint="default"/>
      </w:rPr>
    </w:lvl>
    <w:lvl w:ilvl="5" w:tplc="FFFFFFFF" w:tentative="1">
      <w:start w:val="1"/>
      <w:numFmt w:val="bullet"/>
      <w:lvlText w:val=""/>
      <w:lvlJc w:val="left"/>
      <w:pPr>
        <w:ind w:left="7348" w:hanging="360"/>
      </w:pPr>
      <w:rPr>
        <w:rFonts w:ascii="Wingdings" w:hAnsi="Wingdings" w:hint="default"/>
      </w:rPr>
    </w:lvl>
    <w:lvl w:ilvl="6" w:tplc="FFFFFFFF" w:tentative="1">
      <w:start w:val="1"/>
      <w:numFmt w:val="bullet"/>
      <w:lvlText w:val=""/>
      <w:lvlJc w:val="left"/>
      <w:pPr>
        <w:ind w:left="8068" w:hanging="360"/>
      </w:pPr>
      <w:rPr>
        <w:rFonts w:ascii="Symbol" w:hAnsi="Symbol" w:hint="default"/>
      </w:rPr>
    </w:lvl>
    <w:lvl w:ilvl="7" w:tplc="FFFFFFFF" w:tentative="1">
      <w:start w:val="1"/>
      <w:numFmt w:val="bullet"/>
      <w:lvlText w:val="o"/>
      <w:lvlJc w:val="left"/>
      <w:pPr>
        <w:ind w:left="8788" w:hanging="360"/>
      </w:pPr>
      <w:rPr>
        <w:rFonts w:ascii="Courier New" w:hAnsi="Courier New" w:cs="Courier New" w:hint="default"/>
      </w:rPr>
    </w:lvl>
    <w:lvl w:ilvl="8" w:tplc="FFFFFFFF" w:tentative="1">
      <w:start w:val="1"/>
      <w:numFmt w:val="bullet"/>
      <w:lvlText w:val=""/>
      <w:lvlJc w:val="left"/>
      <w:pPr>
        <w:ind w:left="9508" w:hanging="360"/>
      </w:pPr>
      <w:rPr>
        <w:rFonts w:ascii="Wingdings" w:hAnsi="Wingdings" w:hint="default"/>
      </w:rPr>
    </w:lvl>
  </w:abstractNum>
  <w:abstractNum w:abstractNumId="37"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DF4683"/>
    <w:multiLevelType w:val="multilevel"/>
    <w:tmpl w:val="04F0D026"/>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2)"/>
      <w:lvlJc w:val="left"/>
      <w:rPr>
        <w:rFonts w:ascii="Calibri" w:eastAsia="Arial Unicode MS" w:hAnsi="Calibri" w:cs="Calibri"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1777AD"/>
    <w:multiLevelType w:val="multilevel"/>
    <w:tmpl w:val="0A081850"/>
    <w:lvl w:ilvl="0">
      <w:start w:val="1"/>
      <w:numFmt w:val="decimal"/>
      <w:pStyle w:val="Parties"/>
      <w:lvlText w:val="(%1)"/>
      <w:lvlJc w:val="left"/>
      <w:pPr>
        <w:tabs>
          <w:tab w:val="num" w:pos="720"/>
        </w:tabs>
        <w:ind w:left="720" w:hanging="720"/>
      </w:pPr>
      <w:rPr>
        <w:b w:val="0"/>
        <w:bCs/>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2" w15:restartNumberingAfterBreak="0">
    <w:nsid w:val="78C31C79"/>
    <w:multiLevelType w:val="hybridMultilevel"/>
    <w:tmpl w:val="0BBA56BC"/>
    <w:lvl w:ilvl="0" w:tplc="FFFFFFFF">
      <w:start w:val="1"/>
      <w:numFmt w:val="decimal"/>
      <w:lvlText w:val="%1."/>
      <w:lvlJc w:val="left"/>
      <w:pPr>
        <w:ind w:left="1440" w:hanging="360"/>
      </w:pPr>
      <w:rPr>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DB5644F"/>
    <w:multiLevelType w:val="hybridMultilevel"/>
    <w:tmpl w:val="8BCC9C08"/>
    <w:lvl w:ilvl="0" w:tplc="FFFFFFFF">
      <w:start w:val="1"/>
      <w:numFmt w:val="bullet"/>
      <w:pStyle w:val="BulletList3"/>
      <w:lvlText w:val=""/>
      <w:lvlJc w:val="left"/>
      <w:pPr>
        <w:tabs>
          <w:tab w:val="num" w:pos="1945"/>
        </w:tabs>
        <w:ind w:left="1945"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77164961">
    <w:abstractNumId w:val="37"/>
  </w:num>
  <w:num w:numId="2" w16cid:durableId="1782913191">
    <w:abstractNumId w:val="38"/>
  </w:num>
  <w:num w:numId="3" w16cid:durableId="2138795305">
    <w:abstractNumId w:val="23"/>
  </w:num>
  <w:num w:numId="4" w16cid:durableId="80030141">
    <w:abstractNumId w:val="43"/>
  </w:num>
  <w:num w:numId="5" w16cid:durableId="2012753745">
    <w:abstractNumId w:val="40"/>
  </w:num>
  <w:num w:numId="6" w16cid:durableId="70320681">
    <w:abstractNumId w:val="16"/>
  </w:num>
  <w:num w:numId="7" w16cid:durableId="404913286">
    <w:abstractNumId w:val="25"/>
  </w:num>
  <w:num w:numId="8" w16cid:durableId="1710449173">
    <w:abstractNumId w:val="24"/>
  </w:num>
  <w:num w:numId="9" w16cid:durableId="154151501">
    <w:abstractNumId w:val="20"/>
  </w:num>
  <w:num w:numId="10" w16cid:durableId="1999529338">
    <w:abstractNumId w:val="33"/>
  </w:num>
  <w:num w:numId="11" w16cid:durableId="1210145889">
    <w:abstractNumId w:val="19"/>
  </w:num>
  <w:num w:numId="12" w16cid:durableId="1177385426">
    <w:abstractNumId w:val="32"/>
  </w:num>
  <w:num w:numId="13" w16cid:durableId="776295323">
    <w:abstractNumId w:val="35"/>
  </w:num>
  <w:num w:numId="14" w16cid:durableId="416443146">
    <w:abstractNumId w:val="26"/>
  </w:num>
  <w:num w:numId="15" w16cid:durableId="672534174">
    <w:abstractNumId w:val="31"/>
  </w:num>
  <w:num w:numId="16" w16cid:durableId="1886328560">
    <w:abstractNumId w:val="29"/>
  </w:num>
  <w:num w:numId="17" w16cid:durableId="520510346">
    <w:abstractNumId w:val="30"/>
  </w:num>
  <w:num w:numId="18" w16cid:durableId="247037491">
    <w:abstractNumId w:val="28"/>
  </w:num>
  <w:num w:numId="19" w16cid:durableId="1296332509">
    <w:abstractNumId w:val="22"/>
  </w:num>
  <w:num w:numId="20" w16cid:durableId="1126779315">
    <w:abstractNumId w:val="36"/>
  </w:num>
  <w:num w:numId="21" w16cid:durableId="274143406">
    <w:abstractNumId w:val="11"/>
  </w:num>
  <w:num w:numId="22" w16cid:durableId="9765957">
    <w:abstractNumId w:val="14"/>
  </w:num>
  <w:num w:numId="23" w16cid:durableId="693532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5050841">
    <w:abstractNumId w:val="21"/>
  </w:num>
  <w:num w:numId="25" w16cid:durableId="455948133">
    <w:abstractNumId w:val="39"/>
  </w:num>
  <w:num w:numId="26" w16cid:durableId="1526286276">
    <w:abstractNumId w:val="39"/>
  </w:num>
  <w:num w:numId="27" w16cid:durableId="1846944606">
    <w:abstractNumId w:val="39"/>
  </w:num>
  <w:num w:numId="28" w16cid:durableId="2147039167">
    <w:abstractNumId w:val="41"/>
  </w:num>
  <w:num w:numId="29" w16cid:durableId="1443527859">
    <w:abstractNumId w:val="15"/>
  </w:num>
  <w:num w:numId="30" w16cid:durableId="1081835311">
    <w:abstractNumId w:val="18"/>
  </w:num>
  <w:num w:numId="31" w16cid:durableId="2092196736">
    <w:abstractNumId w:val="34"/>
  </w:num>
  <w:num w:numId="32" w16cid:durableId="2002342453">
    <w:abstractNumId w:val="9"/>
  </w:num>
  <w:num w:numId="33" w16cid:durableId="39718754">
    <w:abstractNumId w:val="7"/>
  </w:num>
  <w:num w:numId="34" w16cid:durableId="1521967425">
    <w:abstractNumId w:val="6"/>
  </w:num>
  <w:num w:numId="35" w16cid:durableId="1174565922">
    <w:abstractNumId w:val="5"/>
  </w:num>
  <w:num w:numId="36" w16cid:durableId="2080319310">
    <w:abstractNumId w:val="4"/>
  </w:num>
  <w:num w:numId="37" w16cid:durableId="563492896">
    <w:abstractNumId w:val="8"/>
  </w:num>
  <w:num w:numId="38" w16cid:durableId="1784959428">
    <w:abstractNumId w:val="3"/>
  </w:num>
  <w:num w:numId="39" w16cid:durableId="364991591">
    <w:abstractNumId w:val="2"/>
  </w:num>
  <w:num w:numId="40" w16cid:durableId="805322279">
    <w:abstractNumId w:val="1"/>
  </w:num>
  <w:num w:numId="41" w16cid:durableId="285165062">
    <w:abstractNumId w:val="0"/>
  </w:num>
  <w:num w:numId="42" w16cid:durableId="2621517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1280283">
    <w:abstractNumId w:val="13"/>
  </w:num>
  <w:num w:numId="44" w16cid:durableId="1719277397">
    <w:abstractNumId w:val="10"/>
  </w:num>
  <w:num w:numId="45" w16cid:durableId="1610116628">
    <w:abstractNumId w:val="42"/>
  </w:num>
  <w:num w:numId="46" w16cid:durableId="872309240">
    <w:abstractNumId w:val="12"/>
  </w:num>
  <w:num w:numId="47" w16cid:durableId="971866063">
    <w:abstractNumId w:val="17"/>
  </w:num>
  <w:num w:numId="48" w16cid:durableId="1810628951">
    <w:abstractNumId w:val="27"/>
  </w:num>
  <w:num w:numId="49" w16cid:durableId="63189762">
    <w:abstractNumId w:val="39"/>
  </w:num>
  <w:num w:numId="50" w16cid:durableId="3910840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3228318">
    <w:abstractNumId w:val="10"/>
    <w:lvlOverride w:ilvl="0">
      <w:startOverride w:val="8"/>
    </w:lvlOverride>
    <w:lvlOverride w:ilvl="1">
      <w:startOverride w:val="2"/>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7412A5E8-ED4E-4AEE-9C30-070C2AD9FB3D}"/>
  </w:docVars>
  <w:rsids>
    <w:rsidRoot w:val="00782139"/>
    <w:rsid w:val="002F180D"/>
    <w:rsid w:val="00324144"/>
    <w:rsid w:val="003C135C"/>
    <w:rsid w:val="004A23D1"/>
    <w:rsid w:val="0056439C"/>
    <w:rsid w:val="00565E8D"/>
    <w:rsid w:val="005E7FBD"/>
    <w:rsid w:val="0069121A"/>
    <w:rsid w:val="0074789A"/>
    <w:rsid w:val="00782139"/>
    <w:rsid w:val="00843D62"/>
    <w:rsid w:val="00874074"/>
    <w:rsid w:val="009B7EB0"/>
    <w:rsid w:val="00A84F28"/>
    <w:rsid w:val="00A85134"/>
    <w:rsid w:val="00B740A5"/>
    <w:rsid w:val="00B903C7"/>
    <w:rsid w:val="00C24495"/>
    <w:rsid w:val="00CA06DE"/>
    <w:rsid w:val="00CA178F"/>
    <w:rsid w:val="00DB1190"/>
    <w:rsid w:val="00E16966"/>
    <w:rsid w:val="00E60D87"/>
    <w:rsid w:val="00FA4930"/>
  </w:rsids>
  <m:mathPr>
    <m:mathFont m:val="Cambria Math"/>
    <m:brkBin m:val="before"/>
    <m:brkBinSub m:val="--"/>
    <m:smallFrac m:val="0"/>
    <m:dispDef/>
    <m:lMargin m:val="0"/>
    <m:rMargin m:val="0"/>
    <m:defJc m:val="centerGroup"/>
    <m:wrapRight/>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D030A4"/>
  <w15:chartTrackingRefBased/>
  <w15:docId w15:val="{58B85BEE-C7A3-4B08-8E1D-42346570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334"/>
    <w:pPr>
      <w:spacing w:after="200" w:line="240" w:lineRule="atLeast"/>
    </w:pPr>
    <w:rPr>
      <w:rFonts w:ascii="Arial" w:eastAsia="Arial" w:hAnsi="Arial" w:cs="Arial"/>
      <w:color w:val="000000"/>
      <w:sz w:val="22"/>
      <w:szCs w:val="22"/>
      <w:lang w:val="en-GB" w:eastAsia="en-GB"/>
    </w:rPr>
  </w:style>
  <w:style w:type="paragraph" w:styleId="Heading1">
    <w:name w:val="heading 1"/>
    <w:basedOn w:val="Normal"/>
    <w:next w:val="Normal"/>
    <w:link w:val="Heading1Char"/>
    <w:uiPriority w:val="9"/>
    <w:qFormat/>
    <w:rsid w:val="00A34334"/>
    <w:pPr>
      <w:keepNext/>
      <w:keepLines/>
      <w:numPr>
        <w:numId w:val="10"/>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A34334"/>
    <w:pPr>
      <w:keepNext/>
      <w:keepLines/>
      <w:numPr>
        <w:ilvl w:val="1"/>
        <w:numId w:val="10"/>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A34334"/>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A34334"/>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A34334"/>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A34334"/>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A34334"/>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A34334"/>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A34334"/>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unhideWhenUsed/>
    <w:rsid w:val="00A34334"/>
    <w:rPr>
      <w:rFonts w:ascii="Arial" w:eastAsia="Arial" w:hAnsi="Arial" w:cs="Arial"/>
      <w:color w:val="000000"/>
    </w:rPr>
  </w:style>
  <w:style w:type="table" w:default="1" w:styleId="TableNormal">
    <w:name w:val="Normal Table"/>
    <w:uiPriority w:val="99"/>
    <w:semiHidden/>
    <w:unhideWhenUsed/>
    <w:rPr>
      <w:color w:val="000000"/>
    </w:rPr>
    <w:tblPr>
      <w:tblInd w:w="0" w:type="dxa"/>
      <w:tblCellMar>
        <w:top w:w="0" w:type="dxa"/>
        <w:left w:w="108" w:type="dxa"/>
        <w:bottom w:w="0" w:type="dxa"/>
        <w:right w:w="108" w:type="dxa"/>
      </w:tblCellMar>
    </w:tblPr>
  </w:style>
  <w:style w:type="numbering" w:default="1" w:styleId="NoList">
    <w:name w:val="No List"/>
    <w:uiPriority w:val="99"/>
    <w:semiHidden/>
    <w:unhideWhenUsed/>
    <w:rsid w:val="00A34334"/>
  </w:style>
  <w:style w:type="paragraph" w:styleId="BalloonText">
    <w:name w:val="Balloon Text"/>
    <w:basedOn w:val="Normal"/>
    <w:link w:val="BalloonTextChar"/>
    <w:uiPriority w:val="99"/>
    <w:semiHidden/>
    <w:unhideWhenUsed/>
    <w:rsid w:val="00A343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34"/>
    <w:rPr>
      <w:rFonts w:ascii="Tahoma" w:eastAsia="Arial" w:hAnsi="Tahoma" w:cs="Tahoma"/>
      <w:color w:val="000000"/>
      <w:sz w:val="16"/>
      <w:szCs w:val="16"/>
    </w:rPr>
  </w:style>
  <w:style w:type="paragraph" w:styleId="Header">
    <w:name w:val="header"/>
    <w:basedOn w:val="Normal"/>
    <w:link w:val="HeaderChar"/>
    <w:uiPriority w:val="99"/>
    <w:unhideWhenUsed/>
    <w:rsid w:val="00A34334"/>
    <w:pPr>
      <w:tabs>
        <w:tab w:val="center" w:pos="4513"/>
        <w:tab w:val="right" w:pos="9026"/>
      </w:tabs>
      <w:spacing w:after="0" w:line="240" w:lineRule="auto"/>
    </w:pPr>
  </w:style>
  <w:style w:type="character" w:customStyle="1" w:styleId="HeaderChar">
    <w:name w:val="Header Char"/>
    <w:link w:val="Header"/>
    <w:uiPriority w:val="99"/>
    <w:rsid w:val="00A34334"/>
    <w:rPr>
      <w:rFonts w:ascii="Arial" w:eastAsia="Arial" w:hAnsi="Arial" w:cs="Arial"/>
      <w:color w:val="000000"/>
    </w:rPr>
  </w:style>
  <w:style w:type="paragraph" w:styleId="Footer">
    <w:name w:val="footer"/>
    <w:basedOn w:val="Normal"/>
    <w:link w:val="FooterChar"/>
    <w:rsid w:val="00A34334"/>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A34334"/>
    <w:rPr>
      <w:rFonts w:ascii="Times New Roman" w:eastAsia="Times New Roman" w:hAnsi="Times New Roman" w:cs="Times New Roman"/>
      <w:color w:val="000000"/>
      <w:szCs w:val="20"/>
      <w:lang w:eastAsia="en-US"/>
    </w:rPr>
  </w:style>
  <w:style w:type="character" w:customStyle="1" w:styleId="Heading1Char">
    <w:name w:val="Heading 1 Char"/>
    <w:link w:val="Heading1"/>
    <w:uiPriority w:val="9"/>
    <w:rsid w:val="00A34334"/>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A34334"/>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A34334"/>
    <w:rPr>
      <w:rFonts w:ascii="Cambria" w:eastAsia="Times New Roman" w:hAnsi="Cambria" w:cs="Times New Roman"/>
      <w:b/>
      <w:bCs/>
      <w:color w:val="000000"/>
    </w:rPr>
  </w:style>
  <w:style w:type="character" w:customStyle="1" w:styleId="Heading4Char">
    <w:name w:val="Heading 4 Char"/>
    <w:link w:val="Heading4"/>
    <w:uiPriority w:val="9"/>
    <w:semiHidden/>
    <w:rsid w:val="00A34334"/>
    <w:rPr>
      <w:rFonts w:ascii="Cambria" w:eastAsia="Times New Roman" w:hAnsi="Cambria" w:cs="Times New Roman"/>
      <w:b/>
      <w:bCs/>
      <w:i/>
      <w:iCs/>
      <w:color w:val="000000"/>
    </w:rPr>
  </w:style>
  <w:style w:type="character" w:customStyle="1" w:styleId="Heading5Char">
    <w:name w:val="Heading 5 Char"/>
    <w:link w:val="Heading5"/>
    <w:uiPriority w:val="9"/>
    <w:semiHidden/>
    <w:rsid w:val="00A34334"/>
    <w:rPr>
      <w:rFonts w:ascii="Cambria" w:eastAsia="Times New Roman" w:hAnsi="Cambria" w:cs="Times New Roman"/>
      <w:color w:val="000000"/>
    </w:rPr>
  </w:style>
  <w:style w:type="character" w:customStyle="1" w:styleId="Heading6Char">
    <w:name w:val="Heading 6 Char"/>
    <w:link w:val="Heading6"/>
    <w:uiPriority w:val="9"/>
    <w:semiHidden/>
    <w:rsid w:val="00A34334"/>
    <w:rPr>
      <w:rFonts w:ascii="Cambria" w:eastAsia="Times New Roman" w:hAnsi="Cambria" w:cs="Times New Roman"/>
      <w:i/>
      <w:iCs/>
      <w:color w:val="000000"/>
    </w:rPr>
  </w:style>
  <w:style w:type="character" w:customStyle="1" w:styleId="Heading7Char">
    <w:name w:val="Heading 7 Char"/>
    <w:link w:val="Heading7"/>
    <w:uiPriority w:val="9"/>
    <w:semiHidden/>
    <w:rsid w:val="00A34334"/>
    <w:rPr>
      <w:rFonts w:ascii="Cambria" w:eastAsia="Times New Roman" w:hAnsi="Cambria" w:cs="Times New Roman"/>
      <w:i/>
      <w:iCs/>
      <w:color w:val="000000"/>
    </w:rPr>
  </w:style>
  <w:style w:type="character" w:customStyle="1" w:styleId="Heading8Char">
    <w:name w:val="Heading 8 Char"/>
    <w:link w:val="Heading8"/>
    <w:uiPriority w:val="9"/>
    <w:semiHidden/>
    <w:rsid w:val="00A34334"/>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A34334"/>
    <w:rPr>
      <w:rFonts w:ascii="Cambria" w:eastAsia="Times New Roman" w:hAnsi="Cambria" w:cs="Times New Roman"/>
      <w:i/>
      <w:iCs/>
      <w:color w:val="000000"/>
      <w:sz w:val="20"/>
      <w:szCs w:val="20"/>
    </w:rPr>
  </w:style>
  <w:style w:type="character" w:styleId="PlaceholderText">
    <w:name w:val="Placeholder Text"/>
    <w:uiPriority w:val="99"/>
    <w:rsid w:val="00A34334"/>
    <w:rPr>
      <w:rFonts w:ascii="Arial" w:eastAsia="Arial" w:hAnsi="Arial" w:cs="Arial"/>
      <w:color w:val="000000"/>
    </w:rPr>
  </w:style>
  <w:style w:type="paragraph" w:customStyle="1" w:styleId="DescriptiveHeading">
    <w:name w:val="DescriptiveHeading"/>
    <w:next w:val="Paragraph"/>
    <w:link w:val="DescriptiveHeadingChar"/>
    <w:rsid w:val="00A34334"/>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A34334"/>
    <w:rPr>
      <w:rFonts w:ascii="Arial" w:eastAsia="Arial Unicode MS" w:hAnsi="Arial" w:cs="Arial"/>
      <w:b/>
      <w:color w:val="000000"/>
      <w:lang w:val="en-US" w:eastAsia="en-US"/>
    </w:rPr>
  </w:style>
  <w:style w:type="paragraph" w:customStyle="1" w:styleId="Paragraph">
    <w:name w:val="Paragraph"/>
    <w:basedOn w:val="Normal"/>
    <w:link w:val="ParagraphChar"/>
    <w:qFormat/>
    <w:rsid w:val="00A34334"/>
    <w:pPr>
      <w:spacing w:after="120" w:line="300" w:lineRule="atLeast"/>
      <w:jc w:val="both"/>
    </w:pPr>
    <w:rPr>
      <w:rFonts w:eastAsia="Arial Unicode MS"/>
      <w:szCs w:val="20"/>
      <w:lang w:eastAsia="en-US"/>
    </w:rPr>
  </w:style>
  <w:style w:type="table" w:styleId="TableGrid">
    <w:name w:val="Table Grid"/>
    <w:basedOn w:val="TableNormal"/>
    <w:rsid w:val="00A34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efault">
    <w:name w:val="Intro Default"/>
    <w:basedOn w:val="Paragraph"/>
    <w:qFormat/>
    <w:rsid w:val="00A34334"/>
  </w:style>
  <w:style w:type="paragraph" w:customStyle="1" w:styleId="DraftingnoteTitle">
    <w:name w:val="Draftingnote Title"/>
    <w:basedOn w:val="Normal"/>
    <w:rsid w:val="00A34334"/>
    <w:pPr>
      <w:spacing w:after="120" w:line="300" w:lineRule="atLeast"/>
      <w:jc w:val="both"/>
    </w:pPr>
    <w:rPr>
      <w:rFonts w:eastAsia="Arial Unicode MS"/>
      <w:b/>
      <w:sz w:val="28"/>
      <w:szCs w:val="20"/>
      <w:lang w:eastAsia="en-US"/>
    </w:rPr>
  </w:style>
  <w:style w:type="paragraph" w:customStyle="1" w:styleId="DefinedTermPara">
    <w:name w:val="Defined Term Para"/>
    <w:basedOn w:val="Paragraph"/>
    <w:qFormat/>
    <w:rsid w:val="00A34334"/>
    <w:pPr>
      <w:numPr>
        <w:numId w:val="49"/>
      </w:numPr>
    </w:pPr>
  </w:style>
  <w:style w:type="paragraph" w:customStyle="1" w:styleId="Schedule">
    <w:name w:val="Schedule"/>
    <w:qFormat/>
    <w:rsid w:val="00A34334"/>
    <w:pPr>
      <w:numPr>
        <w:numId w:val="22"/>
      </w:numPr>
      <w:spacing w:before="240" w:after="240" w:line="240" w:lineRule="atLeast"/>
    </w:pPr>
    <w:rPr>
      <w:rFonts w:ascii="Arial" w:eastAsia="Arial Unicode MS" w:hAnsi="Arial" w:cs="Arial"/>
      <w:b/>
      <w:color w:val="000000"/>
      <w:sz w:val="22"/>
      <w:szCs w:val="22"/>
      <w:lang w:val="en-US" w:eastAsia="en-US"/>
    </w:rPr>
  </w:style>
  <w:style w:type="paragraph" w:customStyle="1" w:styleId="ScheduleTitle">
    <w:name w:val="Schedule Title"/>
    <w:basedOn w:val="Paragraph"/>
    <w:qFormat/>
    <w:rsid w:val="00A34334"/>
    <w:rPr>
      <w:b/>
    </w:rPr>
  </w:style>
  <w:style w:type="paragraph" w:customStyle="1" w:styleId="IgnoredSpacing">
    <w:name w:val="Ignored Spacing"/>
    <w:link w:val="IgnoredSpacingChar"/>
    <w:rsid w:val="00A34334"/>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A34334"/>
    <w:rPr>
      <w:rFonts w:ascii="Arial" w:eastAsia="Arial Unicode MS" w:hAnsi="Arial" w:cs="Arial"/>
      <w:color w:val="000000"/>
      <w:sz w:val="24"/>
      <w:szCs w:val="24"/>
      <w:lang w:val="en-US" w:eastAsia="en-US"/>
    </w:rPr>
  </w:style>
  <w:style w:type="paragraph" w:customStyle="1" w:styleId="Background">
    <w:name w:val="Background"/>
    <w:aliases w:val="(A) Background"/>
    <w:basedOn w:val="Normal"/>
    <w:rsid w:val="00A34334"/>
    <w:pPr>
      <w:numPr>
        <w:numId w:val="1"/>
      </w:numPr>
      <w:spacing w:before="120" w:after="120" w:line="300" w:lineRule="atLeast"/>
      <w:jc w:val="both"/>
    </w:pPr>
    <w:rPr>
      <w:rFonts w:eastAsia="Arial Unicode MS"/>
      <w:szCs w:val="20"/>
      <w:lang w:eastAsia="en-US"/>
    </w:rPr>
  </w:style>
  <w:style w:type="paragraph" w:customStyle="1" w:styleId="Part">
    <w:name w:val="Part"/>
    <w:basedOn w:val="Paragraph"/>
    <w:qFormat/>
    <w:rsid w:val="00A34334"/>
    <w:pPr>
      <w:numPr>
        <w:ilvl w:val="1"/>
        <w:numId w:val="22"/>
      </w:numPr>
      <w:spacing w:before="240" w:after="240"/>
      <w:jc w:val="left"/>
    </w:pPr>
    <w:rPr>
      <w:b/>
    </w:rPr>
  </w:style>
  <w:style w:type="paragraph" w:customStyle="1" w:styleId="Testimonium">
    <w:name w:val="Testimonium"/>
    <w:basedOn w:val="Paragraph"/>
    <w:qFormat/>
    <w:rsid w:val="00A34334"/>
  </w:style>
  <w:style w:type="character" w:customStyle="1" w:styleId="DefTerm">
    <w:name w:val="DefTerm"/>
    <w:uiPriority w:val="1"/>
    <w:qFormat/>
    <w:rsid w:val="00A34334"/>
    <w:rPr>
      <w:rFonts w:ascii="Arial" w:eastAsia="Arial" w:hAnsi="Arial" w:cs="Arial"/>
      <w:b/>
      <w:color w:val="000000"/>
    </w:rPr>
  </w:style>
  <w:style w:type="paragraph" w:customStyle="1" w:styleId="TitleClause">
    <w:name w:val="Title Clause"/>
    <w:basedOn w:val="Normal"/>
    <w:rsid w:val="00A34334"/>
    <w:pPr>
      <w:keepNext/>
      <w:numPr>
        <w:numId w:val="23"/>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link w:val="Paragraph"/>
    <w:rsid w:val="00A34334"/>
    <w:rPr>
      <w:rFonts w:ascii="Arial" w:eastAsia="Arial Unicode MS" w:hAnsi="Arial" w:cs="Arial"/>
      <w:color w:val="000000"/>
      <w:szCs w:val="20"/>
      <w:lang w:eastAsia="en-US"/>
    </w:rPr>
  </w:style>
  <w:style w:type="paragraph" w:customStyle="1" w:styleId="ParaClause">
    <w:name w:val="Para Clause"/>
    <w:basedOn w:val="Normal"/>
    <w:rsid w:val="00A34334"/>
    <w:pPr>
      <w:spacing w:before="120" w:after="120" w:line="300" w:lineRule="atLeast"/>
      <w:ind w:left="720"/>
      <w:jc w:val="both"/>
    </w:pPr>
    <w:rPr>
      <w:rFonts w:eastAsia="Arial Unicode MS"/>
      <w:szCs w:val="20"/>
      <w:lang w:eastAsia="en-US"/>
    </w:rPr>
  </w:style>
  <w:style w:type="paragraph" w:customStyle="1" w:styleId="Untitledsubclause1">
    <w:name w:val="Untitled subclause 1"/>
    <w:basedOn w:val="Normal"/>
    <w:rsid w:val="00A34334"/>
    <w:pPr>
      <w:numPr>
        <w:ilvl w:val="1"/>
        <w:numId w:val="23"/>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A34334"/>
    <w:pPr>
      <w:numPr>
        <w:ilvl w:val="2"/>
        <w:numId w:val="23"/>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A34334"/>
    <w:pPr>
      <w:numPr>
        <w:ilvl w:val="3"/>
        <w:numId w:val="23"/>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A34334"/>
    <w:pPr>
      <w:numPr>
        <w:ilvl w:val="4"/>
        <w:numId w:val="23"/>
      </w:numPr>
      <w:spacing w:after="120" w:line="300" w:lineRule="atLeast"/>
      <w:jc w:val="both"/>
      <w:outlineLvl w:val="4"/>
    </w:pPr>
    <w:rPr>
      <w:rFonts w:eastAsia="Arial Unicode MS"/>
      <w:szCs w:val="20"/>
      <w:lang w:eastAsia="en-US"/>
    </w:rPr>
  </w:style>
  <w:style w:type="paragraph" w:customStyle="1" w:styleId="BackgroundSubclause1">
    <w:name w:val="Background Subclause1"/>
    <w:basedOn w:val="Background"/>
    <w:qFormat/>
    <w:rsid w:val="00A34334"/>
    <w:pPr>
      <w:numPr>
        <w:ilvl w:val="1"/>
      </w:numPr>
    </w:pPr>
  </w:style>
  <w:style w:type="paragraph" w:customStyle="1" w:styleId="BackgroundSubclause2">
    <w:name w:val="Background Subclause2"/>
    <w:basedOn w:val="Background"/>
    <w:qFormat/>
    <w:rsid w:val="00A34334"/>
    <w:pPr>
      <w:numPr>
        <w:ilvl w:val="3"/>
      </w:numPr>
    </w:pPr>
  </w:style>
  <w:style w:type="paragraph" w:customStyle="1" w:styleId="Abstract">
    <w:name w:val="Abstract"/>
    <w:link w:val="AbstractChar"/>
    <w:rsid w:val="00A34334"/>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A34334"/>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A34334"/>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A34334"/>
    <w:rPr>
      <w:rFonts w:ascii="Arial" w:eastAsia="Arial Unicode MS" w:hAnsi="Arial" w:cs="Arial"/>
      <w:color w:val="000000"/>
      <w:sz w:val="24"/>
      <w:lang w:val="en-US" w:eastAsia="en-US"/>
    </w:rPr>
  </w:style>
  <w:style w:type="paragraph" w:styleId="Title">
    <w:name w:val="Title"/>
    <w:link w:val="TitleChar"/>
    <w:qFormat/>
    <w:rsid w:val="00A34334"/>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A34334"/>
    <w:rPr>
      <w:rFonts w:ascii="Arial" w:eastAsia="Arial Unicode MS" w:hAnsi="Arial" w:cs="Arial"/>
      <w:color w:val="000000"/>
      <w:sz w:val="24"/>
      <w:lang w:val="en-US" w:eastAsia="en-US"/>
    </w:rPr>
  </w:style>
  <w:style w:type="paragraph" w:customStyle="1" w:styleId="InternalTOC">
    <w:name w:val="Internal TOC"/>
    <w:rsid w:val="00A34334"/>
    <w:pPr>
      <w:spacing w:after="120"/>
    </w:pPr>
    <w:rPr>
      <w:rFonts w:ascii="Arial" w:eastAsia="Arial Unicode MS" w:hAnsi="Arial" w:cs="Arial"/>
      <w:color w:val="000000"/>
      <w:sz w:val="22"/>
      <w:szCs w:val="22"/>
      <w:lang w:val="en-US" w:eastAsia="en-US"/>
    </w:rPr>
  </w:style>
  <w:style w:type="paragraph" w:customStyle="1" w:styleId="ScheduleTitleClause">
    <w:name w:val="Schedule Title Clause"/>
    <w:basedOn w:val="Normal"/>
    <w:rsid w:val="00A34334"/>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ScheduleUntitledsubclause1">
    <w:name w:val="Schedule Untitled subclause 1"/>
    <w:basedOn w:val="Normal"/>
    <w:rsid w:val="00A34334"/>
    <w:pPr>
      <w:numPr>
        <w:ilvl w:val="3"/>
        <w:numId w:val="22"/>
      </w:numPr>
      <w:spacing w:before="280" w:after="120" w:line="300" w:lineRule="atLeast"/>
      <w:jc w:val="both"/>
      <w:outlineLvl w:val="1"/>
    </w:pPr>
    <w:rPr>
      <w:rFonts w:eastAsia="Arial Unicode MS"/>
      <w:szCs w:val="20"/>
      <w:lang w:eastAsia="en-US"/>
    </w:rPr>
  </w:style>
  <w:style w:type="paragraph" w:customStyle="1" w:styleId="ScheduleUntitledsubclause2">
    <w:name w:val="Schedule Untitled subclause 2"/>
    <w:basedOn w:val="Normal"/>
    <w:rsid w:val="00A34334"/>
    <w:pPr>
      <w:numPr>
        <w:ilvl w:val="4"/>
        <w:numId w:val="22"/>
      </w:numPr>
      <w:spacing w:after="120" w:line="300" w:lineRule="atLeast"/>
      <w:jc w:val="both"/>
      <w:outlineLvl w:val="2"/>
    </w:pPr>
    <w:rPr>
      <w:rFonts w:eastAsia="Arial Unicode MS"/>
      <w:szCs w:val="20"/>
      <w:lang w:eastAsia="en-US"/>
    </w:rPr>
  </w:style>
  <w:style w:type="paragraph" w:customStyle="1" w:styleId="ScheduleUntitledsubclause3">
    <w:name w:val="Schedule Untitled subclause 3"/>
    <w:basedOn w:val="Normal"/>
    <w:rsid w:val="00A34334"/>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ScheduleUntitledsubclause4">
    <w:name w:val="Schedule Untitled subclause 4"/>
    <w:basedOn w:val="Normal"/>
    <w:rsid w:val="00A34334"/>
    <w:pPr>
      <w:spacing w:after="120" w:line="300" w:lineRule="atLeast"/>
      <w:jc w:val="both"/>
      <w:outlineLvl w:val="4"/>
    </w:pPr>
    <w:rPr>
      <w:rFonts w:eastAsia="Arial Unicode MS"/>
      <w:szCs w:val="20"/>
      <w:lang w:eastAsia="en-US"/>
    </w:rPr>
  </w:style>
  <w:style w:type="paragraph" w:customStyle="1" w:styleId="DefinedTermNumber">
    <w:name w:val="Defined Term Number"/>
    <w:basedOn w:val="DefinedTermPara"/>
    <w:qFormat/>
    <w:rsid w:val="00A34334"/>
    <w:pPr>
      <w:numPr>
        <w:ilvl w:val="1"/>
      </w:numPr>
    </w:pPr>
  </w:style>
  <w:style w:type="paragraph" w:customStyle="1" w:styleId="6D83DCFF8BDF479DB88C9CA683CF81C7">
    <w:name w:val="6D83DCFF8BDF479DB88C9CA683CF81C7"/>
    <w:rsid w:val="00125048"/>
    <w:pPr>
      <w:spacing w:after="120"/>
    </w:pPr>
    <w:rPr>
      <w:rFonts w:ascii="Arial" w:hAnsi="Arial"/>
      <w:color w:val="000000"/>
      <w:sz w:val="24"/>
      <w:szCs w:val="24"/>
      <w:lang w:val="en-US" w:eastAsia="en-US"/>
    </w:rPr>
  </w:style>
  <w:style w:type="paragraph" w:customStyle="1" w:styleId="Annex">
    <w:name w:val="Annex"/>
    <w:basedOn w:val="Paragraph"/>
    <w:next w:val="Paragraph"/>
    <w:qFormat/>
    <w:rsid w:val="00A34334"/>
    <w:pPr>
      <w:numPr>
        <w:numId w:val="11"/>
      </w:numPr>
      <w:spacing w:before="240" w:after="240"/>
      <w:ind w:left="0" w:firstLine="0"/>
    </w:pPr>
    <w:rPr>
      <w:b/>
    </w:rPr>
  </w:style>
  <w:style w:type="paragraph" w:customStyle="1" w:styleId="BulletList1">
    <w:name w:val="Bullet List 1"/>
    <w:aliases w:val="Bullet1"/>
    <w:basedOn w:val="Normal"/>
    <w:rsid w:val="00A34334"/>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A34334"/>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A34334"/>
    <w:pPr>
      <w:numPr>
        <w:numId w:val="4"/>
      </w:numPr>
      <w:spacing w:after="240" w:line="240" w:lineRule="auto"/>
      <w:jc w:val="both"/>
    </w:pPr>
    <w:rPr>
      <w:rFonts w:eastAsia="Arial Unicode MS"/>
      <w:szCs w:val="20"/>
      <w:lang w:eastAsia="en-US"/>
    </w:rPr>
  </w:style>
  <w:style w:type="paragraph" w:customStyle="1" w:styleId="ClauseNoTitle">
    <w:name w:val="Clause No Title"/>
    <w:basedOn w:val="TitleClause"/>
    <w:rsid w:val="00A34334"/>
    <w:rPr>
      <w:b w:val="0"/>
      <w:smallCaps/>
    </w:rPr>
  </w:style>
  <w:style w:type="paragraph" w:customStyle="1" w:styleId="ClosingPara">
    <w:name w:val="Closing Para"/>
    <w:basedOn w:val="Normal"/>
    <w:rsid w:val="00A34334"/>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A34334"/>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A34334"/>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A34334"/>
  </w:style>
  <w:style w:type="paragraph" w:customStyle="1" w:styleId="CoverSheetSubjectText">
    <w:name w:val="Cover Sheet Subject Text"/>
    <w:basedOn w:val="Normal"/>
    <w:rsid w:val="00A34334"/>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A34334"/>
    <w:pPr>
      <w:spacing w:after="0" w:line="300" w:lineRule="atLeast"/>
      <w:jc w:val="center"/>
    </w:pPr>
    <w:rPr>
      <w:rFonts w:eastAsia="Arial Unicode MS"/>
      <w:szCs w:val="20"/>
      <w:lang w:eastAsia="en-US"/>
    </w:rPr>
  </w:style>
  <w:style w:type="paragraph" w:customStyle="1" w:styleId="DraftingnoteSection1Para">
    <w:name w:val="Draftingnote Section1 Para"/>
    <w:basedOn w:val="Normal"/>
    <w:rsid w:val="00A34334"/>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A34334"/>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A34334"/>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A34334"/>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A34334"/>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A34334"/>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A34334"/>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A34334"/>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A34334"/>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A34334"/>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A34334"/>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A34334"/>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A34334"/>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A34334"/>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A34334"/>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A34334"/>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A34334"/>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A34334"/>
    <w:pPr>
      <w:spacing w:after="120" w:line="300" w:lineRule="atLeast"/>
      <w:jc w:val="both"/>
    </w:pPr>
    <w:rPr>
      <w:rFonts w:eastAsia="Arial Unicode MS"/>
      <w:szCs w:val="20"/>
      <w:lang w:eastAsia="en-US"/>
    </w:rPr>
  </w:style>
  <w:style w:type="paragraph" w:customStyle="1" w:styleId="GlossItemGlossterm">
    <w:name w:val="GlossItem Glossterm"/>
    <w:basedOn w:val="Normal"/>
    <w:rsid w:val="00A34334"/>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A34334"/>
    <w:pPr>
      <w:spacing w:after="120" w:line="300" w:lineRule="atLeast"/>
      <w:jc w:val="both"/>
    </w:pPr>
    <w:rPr>
      <w:rFonts w:eastAsia="Arial Unicode MS"/>
      <w:szCs w:val="20"/>
      <w:lang w:eastAsia="en-US"/>
    </w:rPr>
  </w:style>
  <w:style w:type="paragraph" w:customStyle="1" w:styleId="HeadingDate">
    <w:name w:val="Heading Date"/>
    <w:basedOn w:val="Normal"/>
    <w:rsid w:val="00A34334"/>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A34334"/>
    <w:pPr>
      <w:spacing w:after="120" w:line="300" w:lineRule="atLeast"/>
      <w:jc w:val="both"/>
    </w:pPr>
    <w:rPr>
      <w:rFonts w:eastAsia="Arial Unicode MS"/>
      <w:szCs w:val="20"/>
      <w:lang w:eastAsia="en-US"/>
    </w:rPr>
  </w:style>
  <w:style w:type="paragraph" w:customStyle="1" w:styleId="HeadingSalutation">
    <w:name w:val="Heading Salutation"/>
    <w:basedOn w:val="Normal"/>
    <w:rsid w:val="00A34334"/>
    <w:pPr>
      <w:spacing w:after="120" w:line="300" w:lineRule="atLeast"/>
      <w:jc w:val="both"/>
    </w:pPr>
    <w:rPr>
      <w:rFonts w:eastAsia="Arial Unicode MS"/>
      <w:szCs w:val="20"/>
      <w:lang w:eastAsia="en-US"/>
    </w:rPr>
  </w:style>
  <w:style w:type="paragraph" w:customStyle="1" w:styleId="InternalAuthor">
    <w:name w:val="Internal Author"/>
    <w:link w:val="InternalAuthorChar"/>
    <w:rsid w:val="00A34334"/>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A34334"/>
    <w:rPr>
      <w:rFonts w:ascii="Arial" w:eastAsia="Arial Unicode MS" w:hAnsi="Arial" w:cs="Arial"/>
      <w:color w:val="000000"/>
      <w:sz w:val="24"/>
      <w:lang w:val="en-US" w:eastAsia="en-US"/>
    </w:rPr>
  </w:style>
  <w:style w:type="paragraph" w:customStyle="1" w:styleId="MaintenanceEditor">
    <w:name w:val="Maintenance Editor"/>
    <w:link w:val="MaintenanceEditorChar"/>
    <w:rsid w:val="00A34334"/>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A34334"/>
    <w:rPr>
      <w:rFonts w:ascii="Arial" w:eastAsia="Arial Unicode MS" w:hAnsi="Arial" w:cs="Arial"/>
      <w:color w:val="000000"/>
      <w:sz w:val="24"/>
      <w:lang w:val="en-US" w:eastAsia="en-US"/>
    </w:rPr>
  </w:style>
  <w:style w:type="paragraph" w:customStyle="1" w:styleId="Parasubclause1">
    <w:name w:val="Para subclause 1"/>
    <w:basedOn w:val="Normal"/>
    <w:rsid w:val="00A34334"/>
    <w:pPr>
      <w:spacing w:before="240" w:after="120" w:line="300" w:lineRule="atLeast"/>
      <w:ind w:left="720"/>
      <w:jc w:val="both"/>
    </w:pPr>
    <w:rPr>
      <w:rFonts w:eastAsia="Arial Unicode MS"/>
      <w:szCs w:val="20"/>
      <w:lang w:eastAsia="en-US"/>
    </w:rPr>
  </w:style>
  <w:style w:type="paragraph" w:customStyle="1" w:styleId="Parasubclause2">
    <w:name w:val="Para subclause 2"/>
    <w:basedOn w:val="Normal"/>
    <w:rsid w:val="00A34334"/>
    <w:pPr>
      <w:spacing w:after="240" w:line="300" w:lineRule="atLeast"/>
      <w:ind w:left="1559"/>
      <w:jc w:val="both"/>
    </w:pPr>
    <w:rPr>
      <w:rFonts w:eastAsia="Arial Unicode MS"/>
      <w:szCs w:val="20"/>
      <w:lang w:eastAsia="en-US"/>
    </w:rPr>
  </w:style>
  <w:style w:type="paragraph" w:customStyle="1" w:styleId="Parasubclause3">
    <w:name w:val="Para subclause 3"/>
    <w:basedOn w:val="Normal"/>
    <w:next w:val="Untitledsubclause2"/>
    <w:rsid w:val="00A34334"/>
    <w:pPr>
      <w:spacing w:after="120" w:line="300" w:lineRule="atLeast"/>
      <w:ind w:left="2268"/>
      <w:jc w:val="both"/>
    </w:pPr>
    <w:rPr>
      <w:rFonts w:eastAsia="Arial Unicode MS"/>
      <w:szCs w:val="20"/>
      <w:lang w:eastAsia="en-US"/>
    </w:rPr>
  </w:style>
  <w:style w:type="paragraph" w:customStyle="1" w:styleId="Parasubclause4">
    <w:name w:val="Para subclause 4"/>
    <w:basedOn w:val="Parasubclause3"/>
    <w:rsid w:val="00A34334"/>
    <w:pPr>
      <w:spacing w:after="240"/>
      <w:ind w:left="3028"/>
    </w:pPr>
  </w:style>
  <w:style w:type="paragraph" w:customStyle="1" w:styleId="Para">
    <w:name w:val="Para"/>
    <w:aliases w:val="PLC Style - Normal"/>
    <w:basedOn w:val="Normal"/>
    <w:rsid w:val="00A34334"/>
    <w:pPr>
      <w:spacing w:after="120" w:line="300" w:lineRule="atLeast"/>
      <w:jc w:val="both"/>
    </w:pPr>
    <w:rPr>
      <w:rFonts w:eastAsia="Arial Unicode MS"/>
      <w:szCs w:val="20"/>
      <w:lang w:eastAsia="en-US"/>
    </w:rPr>
  </w:style>
  <w:style w:type="paragraph" w:customStyle="1" w:styleId="Parties">
    <w:name w:val="Parties"/>
    <w:aliases w:val="(1) Parties"/>
    <w:basedOn w:val="Normal"/>
    <w:rsid w:val="00A34334"/>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A34334"/>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A34334"/>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A34334"/>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A34334"/>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A34334"/>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A34334"/>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A34334"/>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A34334"/>
    <w:rPr>
      <w:rFonts w:ascii="Arial" w:eastAsia="Arial Unicode MS" w:hAnsi="Arial" w:cs="Arial"/>
      <w:b/>
      <w:bCs/>
      <w:color w:val="000000"/>
      <w:sz w:val="24"/>
      <w:lang w:val="en-US" w:eastAsia="en-US"/>
    </w:rPr>
  </w:style>
  <w:style w:type="paragraph" w:customStyle="1" w:styleId="ResourceType">
    <w:name w:val="Resource Type"/>
    <w:link w:val="ResourceTypeChar"/>
    <w:rsid w:val="00A34334"/>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A34334"/>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A34334"/>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A34334"/>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A34334"/>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A34334"/>
    <w:pPr>
      <w:spacing w:after="120" w:line="300" w:lineRule="atLeast"/>
      <w:jc w:val="both"/>
    </w:pPr>
    <w:rPr>
      <w:rFonts w:eastAsia="Arial Unicode MS"/>
      <w:szCs w:val="20"/>
      <w:lang w:eastAsia="en-US"/>
    </w:rPr>
  </w:style>
  <w:style w:type="paragraph" w:customStyle="1" w:styleId="SpeedreadPara">
    <w:name w:val="Speedread Para"/>
    <w:basedOn w:val="Normal"/>
    <w:rsid w:val="00A34334"/>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A34334"/>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A34334"/>
    <w:pPr>
      <w:spacing w:after="120" w:line="300" w:lineRule="atLeast"/>
      <w:jc w:val="both"/>
    </w:pPr>
    <w:rPr>
      <w:rFonts w:eastAsia="Arial Unicode MS"/>
      <w:szCs w:val="20"/>
      <w:lang w:eastAsia="en-US"/>
    </w:rPr>
  </w:style>
  <w:style w:type="paragraph" w:customStyle="1" w:styleId="SpeedreadText">
    <w:name w:val="Speedread Text"/>
    <w:basedOn w:val="Normal"/>
    <w:rsid w:val="00A34334"/>
    <w:pPr>
      <w:spacing w:after="120" w:line="300" w:lineRule="atLeast"/>
      <w:jc w:val="both"/>
    </w:pPr>
    <w:rPr>
      <w:rFonts w:eastAsia="Arial Unicode MS"/>
      <w:szCs w:val="20"/>
      <w:lang w:eastAsia="en-US"/>
    </w:rPr>
  </w:style>
  <w:style w:type="paragraph" w:customStyle="1" w:styleId="SpeedreadTitle">
    <w:name w:val="Speedread Title"/>
    <w:basedOn w:val="Normal"/>
    <w:rsid w:val="00A34334"/>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A34334"/>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A34334"/>
    <w:rPr>
      <w:rFonts w:ascii="Arial" w:eastAsia="Arial Unicode MS" w:hAnsi="Arial" w:cs="Arial"/>
      <w:color w:val="000000"/>
      <w:sz w:val="24"/>
      <w:szCs w:val="24"/>
      <w:lang w:val="en-US" w:eastAsia="en-US"/>
    </w:rPr>
  </w:style>
  <w:style w:type="character" w:styleId="Hyperlink">
    <w:name w:val="Hyperlink"/>
    <w:uiPriority w:val="99"/>
    <w:rsid w:val="00A34334"/>
    <w:rPr>
      <w:rFonts w:ascii="Arial" w:eastAsia="Arial" w:hAnsi="Arial" w:cs="Arial"/>
      <w:i/>
      <w:color w:val="000000"/>
      <w:u w:val="single"/>
    </w:rPr>
  </w:style>
  <w:style w:type="paragraph" w:customStyle="1" w:styleId="Bullet4">
    <w:name w:val="Bullet4"/>
    <w:basedOn w:val="Normal"/>
    <w:rsid w:val="00A34334"/>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A34334"/>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A34334"/>
    <w:rPr>
      <w:rFonts w:ascii="Arial" w:eastAsia="Arial Unicode MS" w:hAnsi="Arial" w:cs="Arial"/>
      <w:b/>
      <w:i/>
      <w:color w:val="000000"/>
      <w:szCs w:val="18"/>
      <w:shd w:val="pct15" w:color="auto" w:fill="FBD4B4"/>
      <w:lang w:val="en-US" w:eastAsia="en-US"/>
    </w:rPr>
  </w:style>
  <w:style w:type="paragraph" w:customStyle="1" w:styleId="HeadingLevel1">
    <w:name w:val="Heading Level 1"/>
    <w:basedOn w:val="Normal"/>
    <w:next w:val="Paragraph"/>
    <w:rsid w:val="00A34334"/>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A34334"/>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A34334"/>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A34334"/>
    <w:rPr>
      <w:rFonts w:ascii="Times New Roman" w:hAnsi="Times New Roman"/>
      <w:b/>
      <w:vanish/>
      <w:color w:val="000000"/>
      <w:sz w:val="18"/>
      <w:lang w:val="en-GB" w:eastAsia="en-US"/>
    </w:rPr>
  </w:style>
  <w:style w:type="character" w:customStyle="1" w:styleId="PinPointRefChar">
    <w:name w:val="PinPoint Ref Char"/>
    <w:link w:val="PinPointRef"/>
    <w:rsid w:val="00A34334"/>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A34334"/>
    <w:pPr>
      <w:spacing w:before="120"/>
      <w:ind w:left="720"/>
    </w:pPr>
    <w:rPr>
      <w:rFonts w:ascii="Arial" w:eastAsia="Arial Unicode MS" w:hAnsi="Arial" w:cs="Arial"/>
      <w:color w:val="000000"/>
      <w:sz w:val="18"/>
      <w:lang w:val="en-GB" w:eastAsia="en-US"/>
    </w:rPr>
  </w:style>
  <w:style w:type="character" w:customStyle="1" w:styleId="BlockQuoteChar">
    <w:name w:val="Block Quote Char"/>
    <w:link w:val="BlockQuote"/>
    <w:rsid w:val="00A34334"/>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A34334"/>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A34334"/>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A34334"/>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A34334"/>
    <w:rPr>
      <w:rFonts w:ascii="Arial" w:eastAsia="Arial Unicode MS" w:hAnsi="Arial" w:cs="Arial"/>
      <w:color w:val="000000"/>
      <w:szCs w:val="24"/>
      <w:lang w:val="en-US" w:eastAsia="en-US"/>
    </w:rPr>
  </w:style>
  <w:style w:type="paragraph" w:customStyle="1" w:styleId="IntroCustom">
    <w:name w:val="Intro Custom"/>
    <w:basedOn w:val="Paragraph"/>
    <w:qFormat/>
    <w:rsid w:val="00A34334"/>
  </w:style>
  <w:style w:type="paragraph" w:customStyle="1" w:styleId="PrecedentType">
    <w:name w:val="Precedent Type"/>
    <w:basedOn w:val="IgnoredSpacing"/>
    <w:qFormat/>
    <w:rsid w:val="00A34334"/>
  </w:style>
  <w:style w:type="paragraph" w:customStyle="1" w:styleId="Operative">
    <w:name w:val="Operative"/>
    <w:basedOn w:val="IgnoredSpacing"/>
    <w:qFormat/>
    <w:rsid w:val="00A34334"/>
    <w:rPr>
      <w:vanish/>
    </w:rPr>
  </w:style>
  <w:style w:type="paragraph" w:customStyle="1" w:styleId="SpeedreadBulletList1">
    <w:name w:val="Speedread Bullet List 1"/>
    <w:basedOn w:val="BulletList1"/>
    <w:qFormat/>
    <w:rsid w:val="00A34334"/>
  </w:style>
  <w:style w:type="paragraph" w:customStyle="1" w:styleId="PartiesTitle">
    <w:name w:val="Parties Title"/>
    <w:basedOn w:val="Paragraph"/>
    <w:qFormat/>
    <w:rsid w:val="00A34334"/>
    <w:rPr>
      <w:b/>
    </w:rPr>
  </w:style>
  <w:style w:type="paragraph" w:customStyle="1" w:styleId="QuestionParagraph">
    <w:name w:val="Question Paragraph"/>
    <w:link w:val="QuestionParagraphChar"/>
    <w:qFormat/>
    <w:rsid w:val="00A34334"/>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Pattern1">
    <w:name w:val="Bullet List Pattern 1"/>
    <w:basedOn w:val="BulletList1"/>
    <w:qFormat/>
    <w:rsid w:val="00A34334"/>
    <w:pPr>
      <w:shd w:val="clear" w:color="auto" w:fill="D9D9D9"/>
      <w:spacing w:after="120" w:line="240" w:lineRule="auto"/>
      <w:ind w:left="714" w:hanging="357"/>
    </w:pPr>
  </w:style>
  <w:style w:type="character" w:customStyle="1" w:styleId="QuestionParagraphChar">
    <w:name w:val="Question Paragraph Char"/>
    <w:link w:val="QuestionParagraph"/>
    <w:rsid w:val="00A34334"/>
    <w:rPr>
      <w:rFonts w:ascii="Arial" w:eastAsia="Arial Unicode MS" w:hAnsi="Arial" w:cs="Arial"/>
      <w:color w:val="000000"/>
      <w:shd w:val="clear" w:color="auto" w:fill="D9D9D9"/>
      <w:lang w:val="en-US" w:eastAsia="en-US"/>
    </w:rPr>
  </w:style>
  <w:style w:type="paragraph" w:customStyle="1" w:styleId="BulletListPattern2">
    <w:name w:val="Bullet List Pattern 2"/>
    <w:basedOn w:val="BulletList2"/>
    <w:qFormat/>
    <w:rsid w:val="00A34334"/>
    <w:pPr>
      <w:shd w:val="clear" w:color="auto" w:fill="D9D9D9"/>
      <w:ind w:left="1077"/>
    </w:pPr>
  </w:style>
  <w:style w:type="paragraph" w:customStyle="1" w:styleId="TestimoniumContract">
    <w:name w:val="Testimonium Contract"/>
    <w:basedOn w:val="Paragraph"/>
    <w:qFormat/>
    <w:rsid w:val="00A34334"/>
  </w:style>
  <w:style w:type="paragraph" w:customStyle="1" w:styleId="TestimoniumDeed">
    <w:name w:val="Testimonium Deed"/>
    <w:basedOn w:val="Paragraph"/>
    <w:qFormat/>
    <w:rsid w:val="00A34334"/>
  </w:style>
  <w:style w:type="paragraph" w:customStyle="1" w:styleId="Titlesubclause2">
    <w:name w:val="Title subclause2"/>
    <w:basedOn w:val="Untitledsubclause2"/>
    <w:qFormat/>
    <w:rsid w:val="00A34334"/>
    <w:rPr>
      <w:b/>
    </w:rPr>
  </w:style>
  <w:style w:type="paragraph" w:customStyle="1" w:styleId="Titlesubclause3">
    <w:name w:val="Title subclause3"/>
    <w:basedOn w:val="Untitledsubclause3"/>
    <w:qFormat/>
    <w:rsid w:val="00A34334"/>
    <w:rPr>
      <w:b/>
    </w:rPr>
  </w:style>
  <w:style w:type="paragraph" w:customStyle="1" w:styleId="Titlesubclause4">
    <w:name w:val="Title subclause4"/>
    <w:basedOn w:val="Untitledsubclause4"/>
    <w:qFormat/>
    <w:rsid w:val="00A34334"/>
    <w:rPr>
      <w:b/>
    </w:rPr>
  </w:style>
  <w:style w:type="paragraph" w:customStyle="1" w:styleId="UntitledClause">
    <w:name w:val="Untitled Clause"/>
    <w:basedOn w:val="TitleClause"/>
    <w:qFormat/>
    <w:rsid w:val="00A34334"/>
    <w:pPr>
      <w:spacing w:before="120"/>
    </w:pPr>
    <w:rPr>
      <w:b w:val="0"/>
    </w:rPr>
  </w:style>
  <w:style w:type="paragraph" w:customStyle="1" w:styleId="ScheduleUntitledClause">
    <w:name w:val="Schedule Untitled Clause"/>
    <w:basedOn w:val="ScheduleTitleClause"/>
    <w:qFormat/>
    <w:rsid w:val="00A34334"/>
    <w:pPr>
      <w:spacing w:before="120"/>
    </w:pPr>
    <w:rPr>
      <w:b w:val="0"/>
    </w:rPr>
  </w:style>
  <w:style w:type="paragraph" w:customStyle="1" w:styleId="Titlesubclause1">
    <w:name w:val="Title subclause1"/>
    <w:basedOn w:val="Untitledsubclause1"/>
    <w:qFormat/>
    <w:rsid w:val="00A34334"/>
    <w:pPr>
      <w:spacing w:before="120"/>
    </w:pPr>
    <w:rPr>
      <w:b/>
    </w:rPr>
  </w:style>
  <w:style w:type="paragraph" w:customStyle="1" w:styleId="AnnexTitle">
    <w:name w:val="Annex Title"/>
    <w:basedOn w:val="Paragraph"/>
    <w:next w:val="Paragraph"/>
    <w:qFormat/>
    <w:rsid w:val="00A34334"/>
    <w:pPr>
      <w:spacing w:before="240" w:after="240"/>
    </w:pPr>
    <w:rPr>
      <w:b/>
    </w:rPr>
  </w:style>
  <w:style w:type="paragraph" w:customStyle="1" w:styleId="PartTitle">
    <w:name w:val="Part Title"/>
    <w:basedOn w:val="Paragraph"/>
    <w:qFormat/>
    <w:rsid w:val="00A34334"/>
    <w:rPr>
      <w:b/>
    </w:rPr>
  </w:style>
  <w:style w:type="character" w:customStyle="1" w:styleId="apple-converted-space">
    <w:name w:val="apple-converted-space"/>
    <w:rsid w:val="00A34334"/>
    <w:rPr>
      <w:rFonts w:ascii="Arial" w:eastAsia="Arial" w:hAnsi="Arial" w:cs="Arial"/>
      <w:color w:val="000000"/>
    </w:rPr>
  </w:style>
  <w:style w:type="character" w:styleId="Emphasis">
    <w:name w:val="Emphasis"/>
    <w:uiPriority w:val="20"/>
    <w:qFormat/>
    <w:rsid w:val="00A34334"/>
    <w:rPr>
      <w:rFonts w:ascii="Arial" w:eastAsia="Arial" w:hAnsi="Arial" w:cs="Arial"/>
      <w:i/>
      <w:iCs/>
      <w:color w:val="000000"/>
    </w:rPr>
  </w:style>
  <w:style w:type="paragraph" w:customStyle="1" w:styleId="NoNumTitle-Clause">
    <w:name w:val="No Num Title - Clause"/>
    <w:basedOn w:val="TitleClause"/>
    <w:qFormat/>
    <w:rsid w:val="00A34334"/>
    <w:pPr>
      <w:numPr>
        <w:numId w:val="0"/>
      </w:numPr>
      <w:ind w:left="720"/>
    </w:pPr>
  </w:style>
  <w:style w:type="paragraph" w:customStyle="1" w:styleId="NoNumTitlesubclause1">
    <w:name w:val="No Num Title subclause1"/>
    <w:basedOn w:val="Titlesubclause1"/>
    <w:qFormat/>
    <w:rsid w:val="00A34334"/>
    <w:pPr>
      <w:numPr>
        <w:ilvl w:val="0"/>
        <w:numId w:val="0"/>
      </w:numPr>
      <w:ind w:left="720"/>
    </w:pPr>
  </w:style>
  <w:style w:type="paragraph" w:customStyle="1" w:styleId="AddressLine">
    <w:name w:val="Address Line"/>
    <w:basedOn w:val="Paragraph"/>
    <w:qFormat/>
    <w:rsid w:val="00A34334"/>
  </w:style>
  <w:style w:type="paragraph" w:styleId="Date">
    <w:name w:val="Date"/>
    <w:basedOn w:val="Paragraph"/>
    <w:qFormat/>
    <w:rsid w:val="00A34334"/>
  </w:style>
  <w:style w:type="paragraph" w:customStyle="1" w:styleId="SalutationPara">
    <w:name w:val="Salutation Para"/>
    <w:basedOn w:val="Paragraph"/>
    <w:next w:val="Paragraph"/>
    <w:qFormat/>
    <w:rsid w:val="00A34334"/>
    <w:pPr>
      <w:spacing w:before="240"/>
    </w:pPr>
  </w:style>
  <w:style w:type="character" w:styleId="FollowedHyperlink">
    <w:name w:val="FollowedHyperlink"/>
    <w:uiPriority w:val="99"/>
    <w:semiHidden/>
    <w:unhideWhenUsed/>
    <w:rsid w:val="00A34334"/>
    <w:rPr>
      <w:rFonts w:ascii="Arial" w:eastAsia="Arial" w:hAnsi="Arial" w:cs="Arial"/>
      <w:i/>
      <w:color w:val="000000"/>
      <w:u w:val="single"/>
    </w:rPr>
  </w:style>
  <w:style w:type="table" w:customStyle="1" w:styleId="ShadedTable">
    <w:name w:val="Shaded Table"/>
    <w:basedOn w:val="TableNormal"/>
    <w:uiPriority w:val="99"/>
    <w:rsid w:val="00A34334"/>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A34334"/>
    <w:rPr>
      <w:i/>
    </w:rPr>
  </w:style>
  <w:style w:type="paragraph" w:customStyle="1" w:styleId="LetterTitle">
    <w:name w:val="Letter Title"/>
    <w:basedOn w:val="Paragraph"/>
    <w:qFormat/>
    <w:rsid w:val="00A34334"/>
    <w:rPr>
      <w:b/>
    </w:rPr>
  </w:style>
  <w:style w:type="paragraph" w:customStyle="1" w:styleId="LongQuestionPara">
    <w:name w:val="Long Question Para"/>
    <w:basedOn w:val="Paragraph"/>
    <w:link w:val="LongQuestionParaChar"/>
    <w:rsid w:val="00A34334"/>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A34334"/>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A34334"/>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A34334"/>
    <w:rPr>
      <w:rFonts w:ascii="Arial" w:eastAsia="Arial Unicode MS" w:hAnsi="Arial" w:cs="Arial"/>
      <w:bCs/>
      <w:color w:val="000000"/>
      <w:sz w:val="20"/>
      <w:szCs w:val="20"/>
      <w:shd w:val="clear" w:color="auto" w:fill="D9D9D9"/>
      <w:lang w:val="en-US" w:eastAsia="en-US"/>
    </w:rPr>
  </w:style>
  <w:style w:type="paragraph" w:customStyle="1" w:styleId="811D3A974D454A258B71E3C4DE24C4F210">
    <w:name w:val="811D3A974D454A258B71E3C4DE24C4F210"/>
    <w:rsid w:val="007B3F5D"/>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A34334"/>
    <w:pPr>
      <w:spacing w:after="120"/>
      <w:ind w:left="2160"/>
    </w:pPr>
    <w:rPr>
      <w:rFonts w:ascii="Times New Roman" w:hAnsi="Times New Roman"/>
      <w:color w:val="000000"/>
      <w:sz w:val="24"/>
      <w:lang w:val="en-GB" w:eastAsia="en-US"/>
    </w:rPr>
  </w:style>
  <w:style w:type="paragraph" w:customStyle="1" w:styleId="DocumentTitle">
    <w:name w:val="Document Title"/>
    <w:basedOn w:val="Paragraph"/>
    <w:qFormat/>
    <w:rsid w:val="00A34334"/>
    <w:pPr>
      <w:jc w:val="center"/>
    </w:pPr>
    <w:rPr>
      <w:sz w:val="28"/>
    </w:rPr>
  </w:style>
  <w:style w:type="paragraph" w:customStyle="1" w:styleId="Title-Clause">
    <w:name w:val="Title - Clause"/>
    <w:aliases w:val="BIWS Heading 1"/>
    <w:basedOn w:val="Normal"/>
    <w:rsid w:val="00A34334"/>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A34334"/>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A34334"/>
    <w:pPr>
      <w:spacing w:before="120"/>
    </w:pPr>
    <w:rPr>
      <w:b w:val="0"/>
    </w:rPr>
  </w:style>
  <w:style w:type="paragraph" w:customStyle="1" w:styleId="CoversheetParagraph">
    <w:name w:val="Coversheet Paragraph"/>
    <w:basedOn w:val="Normal"/>
    <w:autoRedefine/>
    <w:rsid w:val="00A34334"/>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A34334"/>
    <w:rPr>
      <w:smallCaps w:val="0"/>
      <w:sz w:val="22"/>
    </w:rPr>
  </w:style>
  <w:style w:type="paragraph" w:customStyle="1" w:styleId="CoversheetStaticText">
    <w:name w:val="Coversheet Static Text"/>
    <w:basedOn w:val="CoversheetIntro"/>
    <w:qFormat/>
    <w:rsid w:val="00A34334"/>
    <w:rPr>
      <w:b w:val="0"/>
    </w:rPr>
  </w:style>
  <w:style w:type="paragraph" w:customStyle="1" w:styleId="CoversheetParty">
    <w:name w:val="Coversheet Party"/>
    <w:basedOn w:val="CoversheetIntro"/>
    <w:qFormat/>
    <w:rsid w:val="00A34334"/>
  </w:style>
  <w:style w:type="paragraph" w:customStyle="1" w:styleId="NoNumUntitledClause">
    <w:name w:val="No Num Untitled Clause"/>
    <w:basedOn w:val="UntitledClause"/>
    <w:qFormat/>
    <w:rsid w:val="00A34334"/>
    <w:pPr>
      <w:numPr>
        <w:numId w:val="0"/>
      </w:numPr>
      <w:ind w:left="720"/>
    </w:pPr>
  </w:style>
  <w:style w:type="paragraph" w:customStyle="1" w:styleId="HeadingLevel2CQA">
    <w:name w:val="Heading Level 2 CQA"/>
    <w:basedOn w:val="HeadingLevel2"/>
    <w:qFormat/>
    <w:rsid w:val="00A34334"/>
  </w:style>
  <w:style w:type="paragraph" w:customStyle="1" w:styleId="ClauseBullet1">
    <w:name w:val="Clause Bullet 1"/>
    <w:basedOn w:val="ParaClause"/>
    <w:qFormat/>
    <w:rsid w:val="00A34334"/>
    <w:pPr>
      <w:numPr>
        <w:numId w:val="13"/>
      </w:numPr>
      <w:ind w:left="1077" w:hanging="357"/>
      <w:outlineLvl w:val="0"/>
    </w:pPr>
  </w:style>
  <w:style w:type="paragraph" w:customStyle="1" w:styleId="ClauseBullet2">
    <w:name w:val="Clause Bullet 2"/>
    <w:basedOn w:val="ParaClause"/>
    <w:qFormat/>
    <w:rsid w:val="00A34334"/>
    <w:pPr>
      <w:numPr>
        <w:numId w:val="14"/>
      </w:numPr>
      <w:ind w:left="1434" w:hanging="357"/>
      <w:outlineLvl w:val="1"/>
    </w:pPr>
  </w:style>
  <w:style w:type="paragraph" w:customStyle="1" w:styleId="subclause1Bullet1">
    <w:name w:val="subclause 1 Bullet 1"/>
    <w:basedOn w:val="Parasubclause1"/>
    <w:qFormat/>
    <w:rsid w:val="00A34334"/>
    <w:pPr>
      <w:numPr>
        <w:numId w:val="15"/>
      </w:numPr>
      <w:ind w:left="1077" w:hanging="357"/>
    </w:pPr>
  </w:style>
  <w:style w:type="paragraph" w:customStyle="1" w:styleId="subclause2Bullet1">
    <w:name w:val="subclause 2 Bullet 1"/>
    <w:basedOn w:val="Parasubclause2"/>
    <w:qFormat/>
    <w:rsid w:val="00A34334"/>
    <w:pPr>
      <w:numPr>
        <w:numId w:val="17"/>
      </w:numPr>
      <w:ind w:left="1434" w:hanging="357"/>
    </w:pPr>
  </w:style>
  <w:style w:type="paragraph" w:customStyle="1" w:styleId="subclause3Bullet1">
    <w:name w:val="subclause 3 Bullet 1"/>
    <w:basedOn w:val="Parasubclause3"/>
    <w:qFormat/>
    <w:rsid w:val="00A34334"/>
    <w:pPr>
      <w:numPr>
        <w:numId w:val="16"/>
      </w:numPr>
      <w:ind w:left="2273" w:hanging="357"/>
    </w:pPr>
  </w:style>
  <w:style w:type="paragraph" w:customStyle="1" w:styleId="subclause1Bullet2">
    <w:name w:val="subclause 1 Bullet 2"/>
    <w:basedOn w:val="Parasubclause1"/>
    <w:qFormat/>
    <w:rsid w:val="00A34334"/>
    <w:pPr>
      <w:numPr>
        <w:numId w:val="18"/>
      </w:numPr>
      <w:ind w:left="1434" w:hanging="357"/>
    </w:pPr>
  </w:style>
  <w:style w:type="paragraph" w:customStyle="1" w:styleId="subclause2Bullet2">
    <w:name w:val="subclause 2 Bullet 2"/>
    <w:basedOn w:val="Parasubclause2"/>
    <w:qFormat/>
    <w:rsid w:val="00A34334"/>
    <w:pPr>
      <w:numPr>
        <w:numId w:val="19"/>
      </w:numPr>
      <w:ind w:left="2273" w:hanging="357"/>
    </w:pPr>
  </w:style>
  <w:style w:type="paragraph" w:customStyle="1" w:styleId="subclause3Bullet2">
    <w:name w:val="subclause 3 Bullet 2"/>
    <w:basedOn w:val="Parasubclause3"/>
    <w:qFormat/>
    <w:rsid w:val="00A34334"/>
    <w:pPr>
      <w:numPr>
        <w:numId w:val="20"/>
      </w:numPr>
      <w:ind w:left="2982" w:hanging="357"/>
    </w:pPr>
  </w:style>
  <w:style w:type="paragraph" w:customStyle="1" w:styleId="DefinedTermBullet">
    <w:name w:val="Defined Term Bullet"/>
    <w:basedOn w:val="DefinedTermPara"/>
    <w:qFormat/>
    <w:rsid w:val="00A34334"/>
    <w:pPr>
      <w:numPr>
        <w:numId w:val="21"/>
      </w:numPr>
    </w:pPr>
  </w:style>
  <w:style w:type="paragraph" w:customStyle="1" w:styleId="AdditionalTitle">
    <w:name w:val="Additional Title"/>
    <w:basedOn w:val="Paragraph"/>
    <w:qFormat/>
    <w:rsid w:val="00A34334"/>
    <w:pPr>
      <w:jc w:val="left"/>
    </w:pPr>
    <w:rPr>
      <w:b/>
      <w:sz w:val="24"/>
    </w:rPr>
  </w:style>
  <w:style w:type="character" w:customStyle="1" w:styleId="error">
    <w:name w:val="error"/>
    <w:rsid w:val="00A34334"/>
    <w:rPr>
      <w:rFonts w:ascii="Arial" w:eastAsia="Arial" w:hAnsi="Arial" w:cs="Arial"/>
      <w:color w:val="000000"/>
    </w:rPr>
  </w:style>
  <w:style w:type="paragraph" w:customStyle="1" w:styleId="NoNumUntitledsubclause1">
    <w:name w:val="No Num Untitled subclause 1"/>
    <w:basedOn w:val="Untitledsubclause1"/>
    <w:qFormat/>
    <w:rsid w:val="00A34334"/>
    <w:pPr>
      <w:numPr>
        <w:ilvl w:val="0"/>
        <w:numId w:val="0"/>
      </w:numPr>
      <w:ind w:left="720"/>
    </w:pPr>
  </w:style>
  <w:style w:type="paragraph" w:customStyle="1" w:styleId="BackgroundParaClause">
    <w:name w:val="Background Para Clause"/>
    <w:basedOn w:val="Background"/>
    <w:qFormat/>
    <w:rsid w:val="00A34334"/>
    <w:pPr>
      <w:numPr>
        <w:numId w:val="0"/>
      </w:numPr>
    </w:pPr>
  </w:style>
  <w:style w:type="paragraph" w:customStyle="1" w:styleId="BackgroundParaSubclause1">
    <w:name w:val="Background Para Subclause1"/>
    <w:basedOn w:val="BackgroundSubclause1"/>
    <w:qFormat/>
    <w:rsid w:val="00A34334"/>
    <w:pPr>
      <w:numPr>
        <w:ilvl w:val="0"/>
        <w:numId w:val="0"/>
      </w:numPr>
      <w:ind w:left="994"/>
    </w:pPr>
    <w:rPr>
      <w:lang w:val="en-US"/>
    </w:rPr>
  </w:style>
  <w:style w:type="paragraph" w:customStyle="1" w:styleId="BackgroundParaSubclause2">
    <w:name w:val="Background Para Subclause2"/>
    <w:basedOn w:val="BackgroundSubclause2"/>
    <w:qFormat/>
    <w:rsid w:val="00A34334"/>
    <w:pPr>
      <w:numPr>
        <w:ilvl w:val="0"/>
        <w:numId w:val="0"/>
      </w:numPr>
      <w:ind w:left="1701"/>
    </w:pPr>
    <w:rPr>
      <w:lang w:val="en-US"/>
    </w:rPr>
  </w:style>
  <w:style w:type="paragraph" w:customStyle="1" w:styleId="ClauseBulletPara">
    <w:name w:val="Clause Bullet Para"/>
    <w:basedOn w:val="ClauseBullet1"/>
    <w:qFormat/>
    <w:rsid w:val="00A34334"/>
    <w:pPr>
      <w:numPr>
        <w:numId w:val="0"/>
      </w:numPr>
      <w:ind w:left="1080"/>
    </w:pPr>
    <w:rPr>
      <w:lang w:val="en-US"/>
    </w:rPr>
  </w:style>
  <w:style w:type="paragraph" w:customStyle="1" w:styleId="ClauseBullet2Para">
    <w:name w:val="Clause Bullet 2 Para"/>
    <w:basedOn w:val="ClauseBullet2"/>
    <w:qFormat/>
    <w:rsid w:val="00A34334"/>
    <w:pPr>
      <w:numPr>
        <w:numId w:val="0"/>
      </w:numPr>
      <w:ind w:left="1440"/>
    </w:pPr>
    <w:rPr>
      <w:lang w:val="en-US"/>
    </w:rPr>
  </w:style>
  <w:style w:type="paragraph" w:customStyle="1" w:styleId="ACTJurisdictionCheckList">
    <w:name w:val="ACTJurisdictionCheckList"/>
    <w:basedOn w:val="Normal"/>
    <w:rsid w:val="00A34334"/>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A34334"/>
  </w:style>
  <w:style w:type="paragraph" w:customStyle="1" w:styleId="EmptyClausePara">
    <w:name w:val="Empty Clause Para"/>
    <w:basedOn w:val="IgnoredSpacing"/>
    <w:qFormat/>
    <w:rsid w:val="00A34334"/>
  </w:style>
  <w:style w:type="paragraph" w:styleId="ListParagraph">
    <w:name w:val="List Paragraph"/>
    <w:basedOn w:val="Normal"/>
    <w:uiPriority w:val="34"/>
    <w:qFormat/>
    <w:rsid w:val="00A34334"/>
    <w:pPr>
      <w:ind w:left="720"/>
      <w:contextualSpacing/>
    </w:pPr>
  </w:style>
  <w:style w:type="paragraph" w:customStyle="1" w:styleId="ScheduleTitlesubclause1">
    <w:name w:val="Schedule Title subclause1"/>
    <w:basedOn w:val="ScheduleUntitledsubclause1"/>
    <w:qFormat/>
    <w:rsid w:val="00A34334"/>
    <w:pPr>
      <w:spacing w:before="120"/>
    </w:pPr>
    <w:rPr>
      <w:b/>
    </w:rPr>
  </w:style>
  <w:style w:type="paragraph" w:customStyle="1" w:styleId="BulletList1Pattern">
    <w:name w:val="Bullet List 1 + Pattern"/>
    <w:basedOn w:val="BulletList1"/>
    <w:qFormat/>
    <w:rsid w:val="00A34334"/>
    <w:pPr>
      <w:shd w:val="clear" w:color="auto" w:fill="D9D9D9"/>
      <w:spacing w:after="120" w:line="240" w:lineRule="auto"/>
      <w:ind w:left="714" w:hanging="357"/>
    </w:pPr>
  </w:style>
  <w:style w:type="paragraph" w:customStyle="1" w:styleId="BulletList2Pattern">
    <w:name w:val="Bullet List 2 + Pattern"/>
    <w:basedOn w:val="BulletList2"/>
    <w:qFormat/>
    <w:rsid w:val="00A34334"/>
    <w:pPr>
      <w:shd w:val="clear" w:color="auto" w:fill="D9D9D9"/>
      <w:ind w:left="1077"/>
    </w:pPr>
  </w:style>
  <w:style w:type="paragraph" w:customStyle="1" w:styleId="SectorSpecificNoteTitle">
    <w:name w:val="Sector Specific Note Title"/>
    <w:basedOn w:val="JurisdictionDraftingnoteTitle"/>
    <w:qFormat/>
    <w:rsid w:val="00A34334"/>
  </w:style>
  <w:style w:type="table" w:customStyle="1" w:styleId="ShadedTable1">
    <w:name w:val="Shaded Table1"/>
    <w:basedOn w:val="TableNormal"/>
    <w:uiPriority w:val="99"/>
    <w:rsid w:val="00A34334"/>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link w:val="IgnoredEmptysubclauseChar"/>
    <w:qFormat/>
    <w:rsid w:val="00A34334"/>
  </w:style>
  <w:style w:type="character" w:styleId="UnresolvedMention">
    <w:name w:val="Unresolved Mention"/>
    <w:uiPriority w:val="99"/>
    <w:semiHidden/>
    <w:unhideWhenUsed/>
    <w:rsid w:val="00125048"/>
    <w:rPr>
      <w:rFonts w:ascii="Arial" w:eastAsia="Arial" w:hAnsi="Arial" w:cs="Arial"/>
      <w:color w:val="000000"/>
      <w:shd w:val="clear" w:color="auto" w:fill="E1DFDD"/>
    </w:rPr>
  </w:style>
  <w:style w:type="character" w:styleId="CommentReference">
    <w:name w:val="annotation reference"/>
    <w:uiPriority w:val="99"/>
    <w:semiHidden/>
    <w:unhideWhenUsed/>
    <w:rsid w:val="0012684C"/>
    <w:rPr>
      <w:rFonts w:ascii="Arial" w:eastAsia="Arial" w:hAnsi="Arial" w:cs="Arial"/>
      <w:color w:val="000000"/>
      <w:sz w:val="16"/>
      <w:szCs w:val="16"/>
    </w:rPr>
  </w:style>
  <w:style w:type="paragraph" w:styleId="CommentText">
    <w:name w:val="annotation text"/>
    <w:basedOn w:val="Normal"/>
    <w:link w:val="CommentTextChar"/>
    <w:uiPriority w:val="99"/>
    <w:semiHidden/>
    <w:unhideWhenUsed/>
    <w:rsid w:val="0012684C"/>
    <w:pPr>
      <w:spacing w:line="240" w:lineRule="auto"/>
    </w:pPr>
    <w:rPr>
      <w:sz w:val="20"/>
      <w:szCs w:val="20"/>
    </w:rPr>
  </w:style>
  <w:style w:type="character" w:customStyle="1" w:styleId="CommentTextChar">
    <w:name w:val="Comment Text Char"/>
    <w:link w:val="CommentText"/>
    <w:uiPriority w:val="99"/>
    <w:semiHidden/>
    <w:rsid w:val="0012684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2684C"/>
    <w:rPr>
      <w:b/>
      <w:bCs/>
    </w:rPr>
  </w:style>
  <w:style w:type="character" w:customStyle="1" w:styleId="CommentSubjectChar">
    <w:name w:val="Comment Subject Char"/>
    <w:link w:val="CommentSubject"/>
    <w:uiPriority w:val="99"/>
    <w:semiHidden/>
    <w:rsid w:val="0012684C"/>
    <w:rPr>
      <w:rFonts w:ascii="Arial" w:eastAsia="Arial" w:hAnsi="Arial" w:cs="Arial"/>
      <w:b/>
      <w:bCs/>
      <w:color w:val="000000"/>
      <w:sz w:val="20"/>
      <w:szCs w:val="20"/>
    </w:rPr>
  </w:style>
  <w:style w:type="character" w:customStyle="1" w:styleId="IgnoredEmptysubclauseChar">
    <w:name w:val="Ignored Empty subclause Char"/>
    <w:link w:val="IgnoredEmptysubclause"/>
    <w:rsid w:val="00A34334"/>
    <w:rPr>
      <w:rFonts w:ascii="Arial" w:eastAsia="Arial" w:hAnsi="Arial" w:cs="Arial"/>
      <w:color w:val="000000"/>
    </w:rPr>
  </w:style>
  <w:style w:type="paragraph" w:styleId="NormalWeb">
    <w:name w:val="Normal (Web)"/>
    <w:basedOn w:val="Normal"/>
    <w:uiPriority w:val="99"/>
    <w:unhideWhenUsed/>
    <w:rsid w:val="008E7FC3"/>
    <w:rPr>
      <w:rFonts w:ascii="Times New Roman" w:hAnsi="Times New Roman" w:cs="Times New Roman"/>
      <w:sz w:val="24"/>
      <w:szCs w:val="24"/>
    </w:rPr>
  </w:style>
  <w:style w:type="paragraph" w:customStyle="1" w:styleId="FE9FEA9CC0E94E0FA5EFE209CA58453E">
    <w:name w:val="FE9FEA9CC0E94E0FA5EFE209CA58453E"/>
    <w:rsid w:val="00A34334"/>
    <w:pPr>
      <w:spacing w:after="160" w:line="259" w:lineRule="auto"/>
    </w:pPr>
    <w:rPr>
      <w:color w:val="000000"/>
      <w:sz w:val="22"/>
      <w:szCs w:val="22"/>
      <w:lang w:val="en-US" w:eastAsia="en-US"/>
    </w:rPr>
  </w:style>
  <w:style w:type="paragraph" w:styleId="TOC1">
    <w:name w:val="toc 1"/>
    <w:basedOn w:val="Normal"/>
    <w:next w:val="Normal"/>
    <w:autoRedefine/>
    <w:rsid w:val="00805BCE"/>
    <w:pPr>
      <w:spacing w:after="100" w:line="240" w:lineRule="auto"/>
    </w:pPr>
  </w:style>
  <w:style w:type="character" w:styleId="Strong">
    <w:name w:val="Strong"/>
    <w:uiPriority w:val="22"/>
    <w:qFormat/>
    <w:rsid w:val="00FA4930"/>
    <w:rPr>
      <w:rFonts w:ascii="Arial" w:eastAsia="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67658004">
      <w:bodyDiv w:val="1"/>
      <w:marLeft w:val="0"/>
      <w:marRight w:val="0"/>
      <w:marTop w:val="0"/>
      <w:marBottom w:val="0"/>
      <w:divBdr>
        <w:top w:val="none" w:sz="0" w:space="0" w:color="auto"/>
        <w:left w:val="none" w:sz="0" w:space="0" w:color="auto"/>
        <w:bottom w:val="none" w:sz="0" w:space="0" w:color="auto"/>
        <w:right w:val="none" w:sz="0" w:space="0" w:color="auto"/>
      </w:divBdr>
    </w:div>
    <w:div w:id="85461691">
      <w:bodyDiv w:val="1"/>
      <w:marLeft w:val="0"/>
      <w:marRight w:val="0"/>
      <w:marTop w:val="0"/>
      <w:marBottom w:val="0"/>
      <w:divBdr>
        <w:top w:val="none" w:sz="0" w:space="0" w:color="auto"/>
        <w:left w:val="none" w:sz="0" w:space="0" w:color="auto"/>
        <w:bottom w:val="none" w:sz="0" w:space="0" w:color="auto"/>
        <w:right w:val="none" w:sz="0" w:space="0" w:color="auto"/>
      </w:divBdr>
    </w:div>
    <w:div w:id="100149469">
      <w:bodyDiv w:val="1"/>
      <w:marLeft w:val="0"/>
      <w:marRight w:val="0"/>
      <w:marTop w:val="0"/>
      <w:marBottom w:val="0"/>
      <w:divBdr>
        <w:top w:val="none" w:sz="0" w:space="0" w:color="auto"/>
        <w:left w:val="none" w:sz="0" w:space="0" w:color="auto"/>
        <w:bottom w:val="none" w:sz="0" w:space="0" w:color="auto"/>
        <w:right w:val="none" w:sz="0" w:space="0" w:color="auto"/>
      </w:divBdr>
    </w:div>
    <w:div w:id="494801410">
      <w:bodyDiv w:val="1"/>
      <w:marLeft w:val="0"/>
      <w:marRight w:val="0"/>
      <w:marTop w:val="0"/>
      <w:marBottom w:val="0"/>
      <w:divBdr>
        <w:top w:val="none" w:sz="0" w:space="0" w:color="auto"/>
        <w:left w:val="none" w:sz="0" w:space="0" w:color="auto"/>
        <w:bottom w:val="none" w:sz="0" w:space="0" w:color="auto"/>
        <w:right w:val="none" w:sz="0" w:space="0" w:color="auto"/>
      </w:divBdr>
    </w:div>
    <w:div w:id="527763561">
      <w:bodyDiv w:val="1"/>
      <w:marLeft w:val="0"/>
      <w:marRight w:val="0"/>
      <w:marTop w:val="0"/>
      <w:marBottom w:val="0"/>
      <w:divBdr>
        <w:top w:val="none" w:sz="0" w:space="0" w:color="auto"/>
        <w:left w:val="none" w:sz="0" w:space="0" w:color="auto"/>
        <w:bottom w:val="none" w:sz="0" w:space="0" w:color="auto"/>
        <w:right w:val="none" w:sz="0" w:space="0" w:color="auto"/>
      </w:divBdr>
    </w:div>
    <w:div w:id="680469543">
      <w:bodyDiv w:val="1"/>
      <w:marLeft w:val="0"/>
      <w:marRight w:val="0"/>
      <w:marTop w:val="0"/>
      <w:marBottom w:val="0"/>
      <w:divBdr>
        <w:top w:val="none" w:sz="0" w:space="0" w:color="auto"/>
        <w:left w:val="none" w:sz="0" w:space="0" w:color="auto"/>
        <w:bottom w:val="none" w:sz="0" w:space="0" w:color="auto"/>
        <w:right w:val="none" w:sz="0" w:space="0" w:color="auto"/>
      </w:divBdr>
    </w:div>
    <w:div w:id="723990528">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981276365">
      <w:bodyDiv w:val="1"/>
      <w:marLeft w:val="0"/>
      <w:marRight w:val="0"/>
      <w:marTop w:val="0"/>
      <w:marBottom w:val="0"/>
      <w:divBdr>
        <w:top w:val="none" w:sz="0" w:space="0" w:color="auto"/>
        <w:left w:val="none" w:sz="0" w:space="0" w:color="auto"/>
        <w:bottom w:val="none" w:sz="0" w:space="0" w:color="auto"/>
        <w:right w:val="none" w:sz="0" w:space="0" w:color="auto"/>
      </w:divBdr>
    </w:div>
    <w:div w:id="1012991874">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456757762">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859119">
      <w:bodyDiv w:val="1"/>
      <w:marLeft w:val="0"/>
      <w:marRight w:val="0"/>
      <w:marTop w:val="0"/>
      <w:marBottom w:val="0"/>
      <w:divBdr>
        <w:top w:val="none" w:sz="0" w:space="0" w:color="auto"/>
        <w:left w:val="none" w:sz="0" w:space="0" w:color="auto"/>
        <w:bottom w:val="none" w:sz="0" w:space="0" w:color="auto"/>
        <w:right w:val="none" w:sz="0" w:space="0" w:color="auto"/>
      </w:divBdr>
      <w:divsChild>
        <w:div w:id="684092955">
          <w:marLeft w:val="0"/>
          <w:marRight w:val="0"/>
          <w:marTop w:val="0"/>
          <w:marBottom w:val="0"/>
          <w:divBdr>
            <w:top w:val="none" w:sz="0" w:space="0" w:color="auto"/>
            <w:left w:val="none" w:sz="0" w:space="0" w:color="auto"/>
            <w:bottom w:val="none" w:sz="0" w:space="0" w:color="auto"/>
            <w:right w:val="none" w:sz="0" w:space="0" w:color="auto"/>
          </w:divBdr>
        </w:div>
        <w:div w:id="721443669">
          <w:marLeft w:val="0"/>
          <w:marRight w:val="0"/>
          <w:marTop w:val="0"/>
          <w:marBottom w:val="0"/>
          <w:divBdr>
            <w:top w:val="none" w:sz="0" w:space="0" w:color="auto"/>
            <w:left w:val="none" w:sz="0" w:space="0" w:color="auto"/>
            <w:bottom w:val="none" w:sz="0" w:space="0" w:color="auto"/>
            <w:right w:val="none" w:sz="0" w:space="0" w:color="auto"/>
          </w:divBdr>
        </w:div>
        <w:div w:id="958877177">
          <w:marLeft w:val="0"/>
          <w:marRight w:val="0"/>
          <w:marTop w:val="0"/>
          <w:marBottom w:val="0"/>
          <w:divBdr>
            <w:top w:val="none" w:sz="0" w:space="0" w:color="auto"/>
            <w:left w:val="none" w:sz="0" w:space="0" w:color="auto"/>
            <w:bottom w:val="none" w:sz="0" w:space="0" w:color="auto"/>
            <w:right w:val="none" w:sz="0" w:space="0" w:color="auto"/>
          </w:divBdr>
        </w:div>
        <w:div w:id="1819419027">
          <w:marLeft w:val="0"/>
          <w:marRight w:val="0"/>
          <w:marTop w:val="0"/>
          <w:marBottom w:val="0"/>
          <w:divBdr>
            <w:top w:val="none" w:sz="0" w:space="0" w:color="auto"/>
            <w:left w:val="none" w:sz="0" w:space="0" w:color="auto"/>
            <w:bottom w:val="none" w:sz="0" w:space="0" w:color="auto"/>
            <w:right w:val="none" w:sz="0" w:space="0" w:color="auto"/>
          </w:divBdr>
        </w:div>
      </w:divsChild>
    </w:div>
    <w:div w:id="1972590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397CAFCE86B5BA4DB6D64AE59A2CB34F" ma:contentTypeName="Document" ma:contentTypeScope="" ma:contentTypeVersion="11" ma:versionID="be3c6f112b9531baaa88adf1e94906e7">
  <xsd:schema xmlns:xsd="http://www.w3.org/2001/XMLSchema" xmlns:ns3="2a7ea492-4d30-4375-a742-78c18b9f6223" xmlns:ns4="6a1b676b-ee97-46db-bcf5-42600f5cb04e" xmlns:p="http://schemas.microsoft.com/office/2006/metadata/properties" xmlns:xs="http://www.w3.org/2001/XMLSchema" ma:fieldsID="2fec81a1f461f4585bf39b88e65813d6" ma:root="true" ns3:_="" ns4:_="" targetNamespace="http://schemas.microsoft.com/office/2006/metadata/properties">
    <xsd:import namespace="2a7ea492-4d30-4375-a742-78c18b9f6223"/>
    <xsd:import namespace="6a1b676b-ee97-46db-bcf5-42600f5cb04e"/>
    <xsd:element name="properties">
      <xsd:complexType>
        <xsd:sequence>
          <xsd:element name="documentManagement">
            <xsd:complexType>
              <xsd:all>
                <xsd:element minOccurs="0" ref="ns3:SharedWithUsers"/>
                <xsd:element minOccurs="0" ref="ns3:SharedWithDetails"/>
                <xsd:element minOccurs="0" ref="ns3:SharingHintHash"/>
                <xsd:element minOccurs="0" ref="ns4:MediaServiceMetadata"/>
                <xsd:element minOccurs="0" ref="ns4:MediaServiceFastMetadata"/>
                <xsd:element minOccurs="0" ref="ns4:MediaServiceAutoTags"/>
                <xsd:element minOccurs="0" ref="ns4:MediaServiceGenerationTime"/>
                <xsd:element minOccurs="0" ref="ns4:MediaServiceEventHashCode"/>
                <xsd:element minOccurs="0" ref="ns4:MediaServiceOCR"/>
                <xsd:element minOccurs="0" ref="ns4:MediaServiceAutoKeyPoints"/>
                <xsd:element minOccurs="0" ref="ns4:MediaServiceKeyPoint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2a7ea492-4d30-4375-a742-78c18b9f6223">
    <xsd:import namespace="http://schemas.microsoft.com/office/2006/documentManagement/types"/>
    <xsd:import namespace="http://schemas.microsoft.com/office/infopath/2007/PartnerControls"/>
    <xsd:element ma:displayName="Shared With"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9" ma:internalName="SharedWithDetails" ma:readOnly="true" name="SharedWithDetails" nillable="true">
      <xsd:simpleType>
        <xsd:restriction base="dms:Note">
          <xsd:maxLength value="255"/>
        </xsd:restriction>
      </xsd:simpleType>
    </xsd:element>
    <xsd:element ma:displayName="Sharing Hint Hash" ma:hidden="true" ma:index="10" ma:internalName="SharingHintHash" ma:readOnly="true" name="SharingHintHash"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6a1b676b-ee97-46db-bcf5-42600f5cb04e">
    <xsd:import namespace="http://schemas.microsoft.com/office/2006/documentManagement/types"/>
    <xsd:import namespace="http://schemas.microsoft.com/office/infopath/2007/PartnerControls"/>
    <xsd:element ma:displayName="MediaServiceMetadata" ma:hidden="true" ma:index="11" ma:internalName="MediaServiceMetadata" ma:readOnly="true" name="MediaServiceMetadata" nillable="true">
      <xsd:simpleType>
        <xsd:restriction base="dms:Note"/>
      </xsd:simpleType>
    </xsd:element>
    <xsd:element ma:displayName="MediaServiceFastMetadata" ma:hidden="true" ma:index="12" ma:internalName="MediaServiceFastMetadata" ma:readOnly="true" name="MediaServiceFastMetadata" nillable="true">
      <xsd:simpleType>
        <xsd:restriction base="dms:Note"/>
      </xsd:simpleType>
    </xsd:element>
    <xsd:element ma:displayName="Tags" ma:index="13" ma:internalName="MediaServiceAutoTags" ma:readOnly="true" name="MediaServiceAutoTags" nillable="true">
      <xsd:simpleType>
        <xsd:restriction base="dms:Text"/>
      </xsd:simpleType>
    </xsd:element>
    <xsd:element ma:displayName="MediaServiceGenerationTime" ma:hidden="true" ma:index="14" ma:internalName="MediaServiceGenerationTime" ma:readOnly="true" name="MediaServiceGenerationTime" nillable="true">
      <xsd:simpleType>
        <xsd:restriction base="dms:Text"/>
      </xsd:simpleType>
    </xsd:element>
    <xsd:element ma:displayName="MediaServiceEventHashCode" ma:hidden="true" ma:index="15" ma:internalName="MediaServiceEventHashCode" ma:readOnly="true" name="MediaServiceEventHashCode" nillable="true">
      <xsd:simpleType>
        <xsd:restriction base="dms:Text"/>
      </xsd:simpleType>
    </xsd:element>
    <xsd:element ma:displayName="Extracted Text" ma:index="16" ma:internalName="MediaServiceOCR" ma:readOnly="true" name="MediaServiceOCR" nillable="true">
      <xsd:simpleType>
        <xsd:restriction base="dms:Note">
          <xsd:maxLength value="255"/>
        </xsd:restriction>
      </xsd:simpleType>
    </xsd:element>
    <xsd:element ma:displayName="MediaServiceAutoKeyPoints" ma:hidden="true" ma:index="17" ma:internalName="MediaServiceAutoKeyPoints" ma:readOnly="true" name="MediaServiceAutoKeyPoints" nillable="true">
      <xsd:simpleType>
        <xsd:restriction base="dms:Note"/>
      </xsd:simpleType>
    </xsd:element>
    <xsd:element ma:displayName="KeyPoints" ma:index="18" ma:internalName="MediaServiceKeyPoints" ma:readOnly="true" name="MediaServiceKeyPoint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5.xml><?xml version="1.0" encoding="utf-8"?>
<cdm:cachedDataManifest xmlns:cdm="http://schemas.microsoft.com/2004/VisualStudio/Tools/Applications/CachedDataManifest.xsd" cdm:revision="1"/>
</file>

<file path=customXml/item6.xml><?xml version="1.0" encoding="utf-8"?>
<n-document xmlns:xsd="http://www.w3.org/2001/XMLSchema" xmlns:xsi="http://www.w3.org/2001/XMLSchema-instance" guid="0" synced="true" validated="true">
  <n-docbody>
    <standard.doc precedenttype="agreement">
      <prelim>
        <product.name>product.name0</product.name>
        <title>Data processing agreement (controller-to-processor) (within UK and UK to EEA)</title>
        <author>
          <link href="https://uk.practicallaw.thomsonreuters.com/Browse/Home/About/OurteamDataProtection" style="ACTLinkURL">
            <ital>Practical Law Data Protection</ital>
          </link>
        </author>
        <resource.type>Standard documents</resource.type>
        <juris>juris0</juris>
        <juris>juris1</juris>
      </prelim>
      <abstract>
        <para>
          <paratext>A standard personal data processing agreement for use with a master service agreement or other similar agreement when the contracted services involve a service provider processing personal data on behalf of a customer.</paratext>
        </para>
        <para>
          <paratext>
            This standard document is intended to comply with the retained EU law version of the General Data Protection Regulation (
            <ital>(EU) 2016/679</ital>
            ) (UK GDPR) and the Data Protection Act 2018 (DPA 2018) and is for use by a UK controller using a provider incorporated in the UK who also intends to process the customer's personal data within the UK or to transfer the personal data within the EEA only. For a version where the processor may process outside the EEA, see 
            <link href="w-013-2951" style="ACTLinkPLCtoPLC">
              <ital>Standard document, Data processing agreement (controller-to-processor) (UK to non-EEA)</ital>
            </link>
            . The agreement can also be adapted for a UK organisation subject to the General Data Protection Regulation (
            <ital>(EU) 2016/679</ital>
            ) (EU GDPR).
          </paratext>
        </para>
        <para>
          <paratext>Although this is a balanced contract, some clauses favour the controller. Square brackets indicate that clauses are optional.</paratext>
        </para>
      </abstract>
      <toc.identifier hasToc="true"/>
      <body>
        <drafting.note id="a786352" jurisdiction="">
          <head align="left" preservecase="true">
            <headtext>About this document</headtext>
          </head>
          <division id="a000004" level="1">
            <para>
              <paratext>
                This standard document has been drafted to comply with the 
                <link href="w-019-6282" style="ACTLinkPLCtoPLC">
                  <ital>retained EU law</ital>
                </link>
                 version of the 
                <link href="6-631-1875" style="ACTLinkPLCtoPLC">
                  <ital>General Data Protection Regulation ((EU) 2016/679) </ital>
                </link>
                (
                <link href="w-026-8528" style="ACTLinkPLCtoPLC">
                  <ital>UK GDPR</ital>
                </link>
                ) from 1 January 2021. It can be used alongside a master service agreement or other similar agreement when the contracted services involve a service provider processing 
                <link href="8-200-3413" style="ACTLinkPLCtoPLC">
                  <ital>personal data</ital>
                </link>
                 on behalf of a customer.
              </paratext>
            </para>
            <para>
              <paratext>
                From the end of the 
                <link href="w-023-9796" style="ACTLinkPLCtoPLC">
                  <ital>UK-EU transition period</ital>
                </link>
                 (transition period), the UK GDPR applies in the UK along with the 
                <link href="w-014-9417" style="ACTLinkPLCtoPLC">
                  <ital>Data Protection Act 2018</ital>
                </link>
                 (DPA 2018). For the background to UK data protection law during and after the transition period, see 
                <link href="w-026-2740" style="ACTLinkPLCtoPLC">
                  <ital>Practice notes, Brexit post-transition period: data protection (UK)</ital>
                </link>
                 and 
                <link href="w-016-7309" style="ACTLinkPLCtoPLC">
                  <ital>Brexit: implications for data protection</ital>
                </link>
                .
              </paratext>
            </para>
            <para>
              <paratext>
                For the purposes of this document we have assumed that we are dealing with an organisation based solely in the UK which does not provide goods or services to EU data subjects or monitor their behaviour. For that reason, we refer to compliance with the DPA 2018 and UK GDPR only as they apply from 1 January 2021.   However, we highlight where the clauses could be adapted for organisations also subject to the EU GDPR, see 
                <internal.reference refid="a684047">Drafting note, EU GDPR applicability</internal.reference>
                .
              </paratext>
            </para>
            <para>
              <paratext>
                To view Westlaw UK’s version of the UK GDPR under retained EU law, see the 
                <link href="https://uk.practicallaw.thomsonreuters.com/w-027-1020?originationContext=document&amp;amp;transitionType=PLDocumentLink&amp;amp;contextData=(sc.Default)" style="ACTLinkURL">
                  <ital>retained EU legislation version</ital>
                </link>
                <ital>. </ital>
                Note that, as the government is not publishing definitive legal texts, it is not possible to publish a definitive content set of retained EU law (see 
                <link href="w-022-0489" style="ACTLinkPLCtoPLC">
                  <ital>Guide to identifying retained EU law in Westlaw content</ital>
                </link>
                .)
              </paratext>
            </para>
            <division id="a461109" level="2">
              <head align="left" preservecase="true">
                <headtext>Format</headtext>
              </head>
              <para>
                <paratext>
                  This standard document will assist businesses in ensuring their contractual arrangements around processing personal data comply with the 
                  <link href="w-027-1020" style="ACTLinkPLCtoPLC">
                    <ital>UK GDPR</ital>
                  </link>
                   and 
                  <link href="w-014-9417" style="ACTLinkPLCtoPLC">
                    <ital>DPA 2018</ital>
                  </link>
                  . It is designed as a separate agreement that the parties may attach as an addendum to underlying commercial terms, such as a master service agreement. However, users of this document may also incorporate its terms directly into their service provider contracts (for alternative sets of clauses to insert into an agreement (and that also cover 
                  <link href="6-631-1875" style="ACTLinkPLCtoPLC">
                    <ital>EU GDPR</ital>
                  </link>
                  ), see 
                  <link href="w-027-2423" style="ACTLinkPLCtoPLC">
                    <ital>Practice note, Data protection issues in IT contracts</ital>
                  </link>
                   and 
                  <link href="w-026-6854" style="ACTLinkPLCtoPLC">
                    <ital>Standard clauses, Personal data processing clauses for IT agreements (UK) (pro-supplier)</ital>
                  </link>
                   and 
                  <link href="w-027-4499" style="ACTLinkPLCtoPLC">
                    <ital>Personal data processing clauses for IT agreements (UK) (pro-customer)</ital>
                  </link>
                  . See also 
                  <link href="w-027-8411" style="ACTLinkPLCtoPLC">
                    <ital>Standard clauses, Data processing clauses (UK)</ital>
                  </link>
                  .
                </paratext>
              </para>
              <para>
                <paratext>No standard form agreement is appropriate for all, or even most, organisations. Instead, customers and service providers should carefully draft and tailor the agreement to reflect their actual or anticipated personal data collection, privacy and security requirements.</paratext>
              </para>
              <para>
                <paratext>This document places that transaction-specific information into an Annex for easy use and reference by those in the organisation managing and operating the service provider relationship.</paratext>
              </para>
              <para>
                <paratext>
                  This document is designed for use by either the service provider (
                  <link href="3-107-5724" style="ACTLinkPLCtoPLC">
                    <ital>processor</ital>
                  </link>
                  ) or customer (
                  <link href="5-107-5723" style="ACTLinkPLCtoPLC">
                    <ital>controller</ital>
                  </link>
                  ) and adopts a balanced approach to the relevant issues. However, as indicated in these drafting notes, some clauses favour the controller.
                </paratext>
              </para>
            </division>
            <division id="a466814" level="2">
              <head align="left" preservecase="true">
                <headtext>Legal issues</headtext>
              </head>
              <para>
                <paratext>
                  Article 28 of the 
                  <link href="w-027-1020" style="ACTLinkPLCtoPLC">
                    <ital>UK GDPR</ital>
                  </link>
                   establishes specific obligations and requirements for engaging processors. It only permits transfers of the controller's personal data to processors when the processor provides sufficient guarantees that it has implemented appropriate technical and organisational measures to protect personal data in accordance with the UK GDPR.
                </paratext>
              </para>
              <para>
                <paratext>Processors are subject to direct liability under the UK GDPR:</paratext>
              </para>
              <list type="bulleted">
                <list.item>
                  <para>
                    <paratext>
                      The Information Commissioner may use its range of enforcement options against processors who fail to comply with their obligations under their contract with a controller or who are in breach of their obligations under the UK GDPR (
                      <ital>Article 58, UK GDPR</ital>
                      ).
                    </paratext>
                  </para>
                </list.item>
                <list.item>
                  <para>
                    <paratext>
                      Individuals may also seek compensation directly from processors that breach their obligations (
                      <ital>Article 82, UK GDPR</ital>
                      ).
                    </paratext>
                  </para>
                </list.item>
                <list.item>
                  <para>
                    <paratext>
                      Criminal penalties are also provided for under the 
                      <link href="w-014-9417" style="ACTLinkPLCtoPLC">
                        <ital>DPA 2018</ital>
                      </link>
                      .
                    </paratext>
                  </para>
                </list.item>
              </list>
              <para>
                <paratext>
                  A processor may be fined up to £8.7 million or up to 2% of total annual worldwide turnover for breach of certain processor obligations (
                  <ital>Article 83(4)(a), UK GDPR</ital>
                  ). Higher fines of up to £17.5 million or up to 4% of total annual worldwide turnover may be imposed on processors for non-compliance with international data transfer requirements or for non-compliance with an order issued by the Information Commissioner (
                  <ital>Article 83(5), UK GDPR</ital>
                  ).
                </paratext>
              </para>
              <para>
                <paratext>
                  For further information see 
                  <link href="w-005-2487" style="ACTLinkPLCtoPLC">
                    <ital>Practice note, UK GDPR and DPA 2018: enforcement, sanctions and remedies</ital>
                  </link>
                  .
                </paratext>
              </para>
              <para>
                <paratext>The UK GDPR requires processors' activities to be governed by a "contract or other legal act under domestic law" that sets out:</paratext>
              </para>
              <list type="bulleted">
                <list.item>
                  <para>
                    <paratext>The subject matter and duration of the processing.</paratext>
                  </para>
                </list.item>
                <list.item>
                  <para>
                    <paratext>The nature and purpose of the processing.</paratext>
                  </para>
                </list.item>
                <list.item>
                  <para>
                    <paratext>The type of personal data processed and the categories of data subjects.</paratext>
                  </para>
                </list.item>
                <list.item>
                  <para>
                    <paratext>The obligations and rights of the controller.</paratext>
                  </para>
                  <para>
                    <paratext>
                      (
                      <ital>Article 28(3), UK GDPR.</ital>
                      )
                    </paratext>
                  </para>
                </list.item>
              </list>
              <para>
                <paratext>In addition, the UK GDPR requires that data processing contracts oblige the processor to:</paratext>
              </para>
              <list type="bulleted">
                <list.item>
                  <para>
                    <paratext>Process personal data only on documented instructions from the controller (including with regards to cross-border data transfers, although not covered by this document), subject to certain limited exceptions.</paratext>
                  </para>
                </list.item>
                <list.item>
                  <para>
                    <paratext>Impose confidentiality obligations on all personnel authorised to process the personal data.</paratext>
                  </para>
                </list.item>
                <list.item>
                  <para>
                    <paratext>Ensure the security of the personal data that it processes.</paratext>
                  </para>
                </list.item>
                <list.item>
                  <para>
                    <paratext>Abide by the rules regarding appointment of sub-processors.</paratext>
                  </para>
                </list.item>
                <list.item>
                  <para>
                    <paratext>Implement measures to assist the controller in complying with data subjects' rights.</paratext>
                  </para>
                </list.item>
                <list.item>
                  <para>
                    <paratext>Assist the controller in ensuring compliance with the data security requirements in Articles 32 to 36 of the UK GDPR taking into account the nature of the processing and the information available to the processor.</paratext>
                  </para>
                </list.item>
                <list.item>
                  <para>
                    <paratext>At the controller's election, either return or destroy the personal data at the end of the relationship, unless UK law requires a longer retention period.</paratext>
                  </para>
                </list.item>
                <list.item>
                  <para>
                    <paratext>Provide the controller with all information necessary for the controller to demonstrate compliance with the UK GDPR's obligations relating to engaging processors. The processor must notify the controller immediately if it believes that any written instructions from the controller to provide information violate the UK GDPR or any other domestic law.</paratext>
                  </para>
                  <para>
                    <paratext>
                      (
                      <ital>Article 28(3), UK GDPR.</ital>
                      )
                    </paratext>
                  </para>
                </list.item>
              </list>
              <para>
                <paratext>
                  For more information see 
                  <link href="w-025-2861" style="ACTLinkPLCtoPLC">
                    <ital>Practice note, Processor obligations under UK GDPR</ital>
                  </link>
                  .
                </paratext>
              </para>
              <para>
                <paratext>
                  In November 2020, the European Commission published draft standard contractual clauses (SCCs) for data processing under Article 28 of the 
                  <link href="6-631-1875" style="ACTLinkPLCtoPLC">
                    <ital>EU GDPR</ital>
                  </link>
                   and these were finalised in June 2021. They are intended for use where both parties are subject to the EU GDPR although they are not mandatory and the parties can choose to negotiate their own terms in compliance with Article 28. See 
                  <link href="w-031-2777" style="ACTLinkPLCtoPLC">
                    <ital>Legal update, European Commission adopts final versions of standard contractual clauses under EU GDPR</ital>
                  </link>
                  .
                </paratext>
              </para>
              <para>
                <paratext>
                  New SCCs for international transfers were also adopted by the Commission in June 2021, see 
                  <link href="w-031-2777" style="ACTLinkPLCtoPLC">
                    <ital>Legal update, European Commission adopts final versions of standard contractual clauses under EU GDPR</ital>
                  </link>
                  <ital>.</ital>
                   The ICO is also consulting on (i) a draft model international data transfer agreement (IDTA) and guidance for the UK, (ii) the adoption of model IDTAs issued in other jurisdictions (in particular the EU and the consultation includes a draft UK addendum to the EU SCCs) and (iii) disapplying the SCCs under the Data Protection Directive (95/46/EC) when the model IDTA is finalised (see 
                  <link href="w-032-2620" style="ACTLinkPLCtoPLC">
                    <ital>Legal update, ICO consults on updated guidance and draft ICO international data transfer agreement for personal data transfers outside UK)</ital>
                  </link>
                  .
                </paratext>
              </para>
            </division>
            <division id="a770683" level="2">
              <head align="left" preservecase="true">
                <headtext>Controller or processor</headtext>
              </head>
              <para>
                <paratext>
                  Whether an organisation is a controller or a processor determines its responsibilities under the 
                  <link href="w-027-1020" style="ACTLinkPLCtoPLC">
                    <ital>UK GDPR</ital>
                  </link>
                  . Although the relationship will typically be set out in the agreement between the parties, this will not be decisive if it does not reflect the reality.
                </paratext>
              </para>
              <para>
                <paratext>
                  A controller under the UK GDPR (subject to section 6, 
                  <link href="w-014-9417" style="ACTLinkPLCtoPLC">
                    <ital>DPA 2018</ital>
                  </link>
                  ) means a natural or legal person, which alone, or jointly with others, determines the purposes and means of personal data processing (
                  <ital>Article 4(7), UK GDPR</ital>
                  ).
                </paratext>
              </para>
              <para>
                <paratext>
                  A processor is a natural or legal person that processes personal data on behalf of a controller (
                  <ital>Article 4(8), UK GDPR</ital>
                  ).
                </paratext>
              </para>
              <para>
                <paratext>
                  Under the UK GDPR, if a processor determines the purposes and means of processing, the processor will be considered a controller with respect to that data processing (
                  <ital>Article 28(10), UK GDPR</ital>
                  ).
                </paratext>
              </para>
              <para>
                <paratext>
                  For more information see 
                  <link href="w-025-2861" style="ACTLinkPLCtoPLC">
                    <ital>Practice note, Processor obligations under UK GDPR</ital>
                  </link>
                   and 
                  <link href="w-019-8440" style="ACTLinkPLCtoPLC">
                    <ital>Checklist, Controller or processor? (UK)</ital>
                  </link>
                  .
                </paratext>
              </para>
            </division>
            <division id="a976702" level="2">
              <head align="left" preservecase="true">
                <headtext>Assumptions</headtext>
              </head>
              <para>
                <paratext>This standard document assumes that:</paratext>
              </para>
              <list type="bulleted">
                <list.item>
                  <para>
                    <paratext>The customer is the controller and the provider is a processor. The personal data processing agreement is an addendum to a master service agreement between the provider and the customer that sets out the relevant service scope and terms, including standard provisions such as confidentiality and governing law as well as liability of the parties, excluding any indemnities in relation to data protection which are dealt with in this agreement.</paratext>
                  </para>
                </list.item>
                <list.item>
                  <para>
                    <paratext>
                      The customer and the provider (and any subcontractors) are both established within the UK, process the personal data within the UK and neither party is collecting personal data from individuals in the EU by either (a) offering them goods or services; or (b) monitoring the behaviour of such individuals in so far as such behaviour takes place within the EU (see 
                      <link anchor="a164136" href="w-013-3757" style="ACTLinkPLCtoPLC">
                        <ital>Practice notes, Overview of UK GDPR: Application of the UK GDPR</ital>
                      </link>
                      <ital> </ital>
                      and 
                      <link anchor="a759143" href="w-026-2740" style="ACTLinkPLCtoPLC">
                        <ital>Brexit post-transition period: data protection (UK): Territorial scope</ital>
                      </link>
                      ). See also 
                      <internal.reference refid="a663518">Drafting note, Cross-border transfers of personal data</internal.reference>
                      . However, the clauses can be adapted for a UK organisation also subject to the 
                      <link href="6-631-1875" style="ACTLinkPLCtoPLC">
                        <ital>EU GDPR</ital>
                      </link>
                      , see 
                      <internal.reference refid="a684047">Drafting note, EU GDPR applicability</internal.reference>
                      .
                    </paratext>
                  </para>
                </list.item>
                <list.item>
                  <para>
                    <paratext>
                      Neither the customer nor the processor is governed by Part 3 or Part 4, 
                      <link href="w-014-9417" style="ACTLinkPLCtoPLC">
                        <ital>DPA 2018</ital>
                      </link>
                      . This standard document is suitable only for processing governed by the UK GDPR and Part 2, DPA 2018.
                    </paratext>
                  </para>
                </list.item>
                <list.item>
                  <para>
                    <paratext>
                      The personal data is not transferred, accessible from or processed outside the UK or the EEA. If the personal data is transferred, accessible from or processed outside the UK or EEA, this precedent is not suitable for use. Instead use 
                      <link href="w-013-2951" style="ACTLinkPLCtoPLC">
                        <ital>Standard document, Data processing agreement (controller-to-processor) (UK to non-EEA)</ital>
                      </link>
                      .
                    </paratext>
                  </para>
                </list.item>
                <list.item>
                  <para>
                    <paratext>The processing of the personal data under the agreement does not require any approval from, for example, a financial services regulator nor is it subject to any ongoing regulatory compliance regime (other than the Information Commissioner's oversight).</paratext>
                  </para>
                </list.item>
                <list.item>
                  <para>
                    <paratext>The agreement to which these clauses relate is subject to English law and the jurisdiction of the English courts.</paratext>
                  </para>
                </list.item>
                <list.item>
                  <para>
                    <paratext>The provider will not combine the personal data supplied by the customer with any personal data collected from third parties. However, the provider may directly collect and combine personal data for the customer in accordance with its lawful written instructions.</paratext>
                  </para>
                </list.item>
              </list>
            </division>
            <division id="a684047" level="2">
              <head align="left" preservecase="true">
                <headtext>EU GDPR applicability</headtext>
              </head>
              <para>
                <paratext>
                  As the 
                  <link href="6-631-1875" style="ACTLinkPLCtoPLC">
                    <ital>EU GDPR</ital>
                  </link>
                    will continue to have extraterritorial effect (see Article 3, EU GDPR), the EU GDPR may continue to apply to UK 
                  <link href="5-107-5723" style="ACTLinkPLCtoPLC">controllers</link>
                   or 
                  <link href="2-384-8947" style="ACTLinkPLCtoPLC">processors</link>
                   who have an establishment in the EU, or who offer goods or services to data subjects in the EU, or who monitor their behaviour as far as their behaviour takes place within the EU. Such organisations may therefore find themselves subject to dual data protection regulatory regimes under the UK GDPR and the EU GDPR. For more information, see 
                  <link anchor="a645904" href="w-026-2740" style="ACTLinkPLCtoPLC">
                    <ital>Practice note, Brexit post-transition period: data protection (UK): Determining which regimes apply</ital>
                  </link>
                  .
                </paratext>
              </para>
              <para>
                <paratext>
                  The parties may therefore wish to do some due diligence as to whether other data protection legislation, in particular the EU GDPR, may apply, in particular where a party also has an establishment in the EU, is offering goods or services to EU data subjects or monitoring their behaviour within the EU or where the personal data was previously processed under the EU GDPR prior to Brexit, relates to EU data subjects and is classed as legacy data (until such time as the UK achieves an adequacy finding) (see 
                  <link anchor="a262573" href="w-026-2740" style="ACTLinkPLCtoPLC">
                    <ital>Practice note, Brexit post-transition period: data protection (UK): Data processed or obtained before end of the transition period)</ital>
                  </link>
                  ).
                </paratext>
              </para>
              <para>
                <paratext>
                  These clauses can then be amended accordingly where noted, for example the definition of Data Protection Legislation can be extended to include the EU GDPR or any applicable data protection legislation, see 
                  <internal.reference refid="a968420">Drafting note, Data protection legislation</internal.reference>
                  . These clauses can also be used by a UK controller engaging an EU processor subject to the EU GDPR. For more information, see 
                  <link anchor="a645904" href="w-026-2740" style="ACTLinkPLCtoPLC">
                    <ital>Practice notes, Brexit post-transition period: data protection (UK): Determining which regimes apply</ital>
                  </link>
                   and
                  <ital> </ital>
                  <link href="w-003-8899" style="ACTLinkPLCtoPLC">
                    <ital>Determining the Applicability of the GDPR</ital>
                  </link>
                  .
                </paratext>
              </para>
            </division>
            <division id="a320614" level="2">
              <head align="left" preservecase="true">
                <headtext>Regulatory guidance</headtext>
              </head>
              <para>
                <paratext>
                  In September 2017, the 
                  <link href="3-107-6262" style="ACTLinkPLCtoPLC">
                    <ital>Information Commissioner's Office</ital>
                  </link>
                   (ICO) consulted on draft guidance on controller to processor contracts. This draft guidance forms the basis of the section on contracts in the ICO's Guide to the 
                  <link href="w-027-1020" style="ACTLinkPLCtoPLC">
                    <ital>UK GDPR</ital>
                  </link>
                  . The guidance notes that in future standard contract clauses may be adopted but no such clauses have yet been drafted at a UK level. See 
                  <link href="w-011-6802" style="ACTLinkPLCtoPLC">
                    <ital>ICO: Guide to the UK GDPR</ital>
                  </link>
                  . However, in November 2020, the European Commission published draft SCCs for data processing under Article 28 of the 
                  <link href="6-631-1875" style="ACTLinkPLCtoPLC">
                    <ital>EU GDPR</ital>
                  </link>
                   which were finalised in June 2021. These are intended for use where both parties are subject to the EU GDPR although they are not mandatory and the parties can choose to negotiate their own terms in compliance with Article 28, see 
                  <link href="w-031-2777" style="ACTLinkPLCtoPLC">
                    <ital>Legal updates, European Commission adopts final versions of standard contractual clauses under EU GDPR</ital>
                  </link>
                   and 
                  <link href="w-028-3683" style="ACTLinkPLCtoPLC">
                    <ital>ICO reacts to publication of new standard contractual clauses</ital>
                  </link>
                  . The ICO is also planning to consult on bespoke UK SCCs, see 
                  <link href="w-030-8930" style="ACTLinkPLCtoPLC">
                    <ital>Legal update, ICO provides update on UK standard contractual clauses</ital>
                  </link>
                  . The ICO issued a statement on binding corporate rules at the end of the transition period (see 
                  <link href="w-028-8227" style="ACTLinkPLCtoPLC">
                    <ital>ICO: Binding Corporate Rules at the end of the transition period</ital>
                  </link>
                   and 
                  <link href="w-028-7932" style="ACTLinkPLCtoPLC">
                    <ital>Legal update, ICO statement on EU BCRs post-transition period</ital>
                  </link>
                  <ital>)</ital>
                  .
                </paratext>
              </para>
              <para>
                <paratext>
                  On 24 December 2020, the UK and the EU reached a 
                  <link href="w-029-8896" style="ACTLinkPLCtoPLC">
                    <ital>trade and co-operation agreement</ital>
                  </link>
                   addressing the arrangements following the end of the Brexit transition period on 31 December 2020 (implemented by the European Union (Future Relationship) Act 2020). See 
                  <link href="w-029-0104" style="ACTLinkPLCtoPLC">
                    <ital>Practice notes, European Union (Future Relationship) Act 2020</ital>
                  </link>
                   and 
                  <link href="w-008-2811" style="ACTLinkPLCtoPLC">
                    <ital>Future UK-EU relationship agreements</ital>
                  </link>
                  . The final provisions of the agreement included an interim provision (bridging mechanism) for transmission of personal data from the EU to the UK. On 19 February 2021, the European Commission published draft adequacy decisions in respect of the UK, see 
                  <link href="w-029-7763" style="ACTLinkPLCtoPLC">
                    <ital>Legal update, Draft GDPR and LED adequacy decisions start EC process on personal data flows from EU to UK</ital>
                  </link>
                   and these were adopted in June 2021 so that personal data can flow from the EU to the UK, see 
                  <link anchor="a863864" href="w-013-9203" style="ACTLinkPLCtoPLC">
                    <ital>Practice note, Cross-border transfers of personal data (UK GDPR and DPA 2018): EU-UK adequacy decision and status of the UK as a third country under the EU GDPR</ital>
                  </link>
                  .
                </paratext>
              </para>
              <para>
                <paratext>
                  References to Articles in this document are references to Articles of the UK GDPR and references to sections are references to sections of the 
                  <link href="w-014-9417" style="ACTLinkPLCtoPLC">
                    <ital>DPA 2018</ital>
                  </link>
                  . However, unless otherwise indicated, the same requirements and Article numbers apply for the EU GDPR. For more information on changes from the EU GDPR to the UK GDPR, see 
                  <link href="w-027-8212" style="ACTLinkPLCtoPLC">
                    <ital>Brexit post-transition period: changes to data protection references: checklist (UK)</ital>
                  </link>
                  .
                </paratext>
              </para>
              <para>
                <paratext>
                  For further information, see 
                  <link anchor="a915248" href="w-013-3757" style="ACTLinkPLCtoPLC">
                    <ital>Practice notes, Overview of UK GDPR: Controller and processor contracts</ital>
                  </link>
                  <ital> </ital>
                  and 
                  <link href="w-013-9203" style="ACTLinkPLCtoPLC">
                    <ital>Cross-border transfers of personal data (UK GDPR and DPA 2018)</ital>
                  </link>
                  .
                </paratext>
              </para>
            </division>
          </division>
        </drafting.note>
        <cover.sheet>
          <head align="left" preservecase="true">
            <headtext>Data processing agreement [(controller-to-processor) (within THE UK) OR (UK to EEA)]</headtext>
          </head>
          <party.name>[PARTY 1]</party.name>
          <AdditionalPartyType>
            <static.and>and</static.and>
            <party.name>[PARTY 2]</party.name>
          </AdditionalPartyType>
        </cover.sheet>
        <intro default="true">
          <intro.date>This agreement is dated [DATE]</intro.date>
        </intro>
        <parties>
          <head align="left" preservecase="true">
            <headtext>PARTIES</headtext>
          </head>
          <party executionmethod="contract" id="a149737" status="company">
            <identifier>(1)</identifier>
            <defn.item>
              <defn>
                <para>
                  <paratext>[FULL COMPANY NAME] incorporated and registered in England and Wales with company number [NUMBER] whose registered office is at [REGISTERED OFFICE ADDRESS]</paratext>
                </para>
              </defn>
              <defn.term>Customer</defn.term>
            </defn.item>
          </party>
          <party executionmethod="contract" id="a155835" status="company">
            <identifier>(2)</identifier>
            <defn.item>
              <defn>
                <para>
                  <paratext>[FULL COMPANY NAME] incorporated and registered in England and Wales with company number [NUMBER] whose registered office is at [REGISTERED OFFICE ADDRESS]</paratext>
                </para>
              </defn>
              <defn.term>Provider</defn.term>
            </defn.item>
          </party>
        </parties>
        <recitals>
          <head align="left" preservecase="true">
            <headtext>BACKGROUND</headtext>
          </head>
          <drafting.note id="a828081" jurisdiction="">
            <head align="left" preservecase="true">
              <headtext>Background</headtext>
            </head>
            <division id="a000005" level="1">
              <para>
                <paratext>This section, sometimes called recitals, gives a brief explanation of the agreement's background and purpose. The parties can use this section to introduce unusual or complicated agreement features or explain the agreement's objective.</paratext>
              </para>
              <para>
                <paratext>Background or recital sections do not typically form part of the agreement's operative provisions or establish direct legal consequences. However, they often provide important context about the parties' intent that can help interpret obscure or ambiguous operative provisions if a dispute occurs.</paratext>
              </para>
              <para>
                <paratext>
                  This agreement's background section identifies personal data protection as its primary purpose and introduces the underlying service provider agreement. It states that the agreement contains the mandatory clauses required for data processing contracts by Article 28(3) of the 
                  <link href="w-027-1020" style="ACTLinkPLCtoPLC">
                    <ital>UK GDPR</ital>
                  </link>
                  .
                </paratext>
              </para>
              <para>
                <paratext>The parties should tailor this section to include other relevant background about their relationship and the procured services.</paratext>
              </para>
            </division>
          </drafting.note>
          <clause id="a643234">
            <identifier>(A)</identifier>
            <para>
              <paratext>
                The Customer and the Provider entered into [SERVICE PROVIDER AGREEMENT] (
                <bold>Master Agreement</bold>
                ) on [INSERT DATE] that may require the Provider to process Personal Data on behalf of the Customer.
              </paratext>
            </para>
          </clause>
          <clause id="a514348">
            <identifier>(B)</identifier>
            <para>
              <paratext>
                This Personal Data Processing Agreement (
                <bold>Agreement</bold>
                ) sets out the additional terms, requirements and conditions on which the Provider will process Personal Data when providing services under the Master Agreement. This Agreement contains the mandatory clauses required by Article 28(3) of the retained EU law version of the General Data Protection Regulation (
                <ital>(EU) 2016/679</ital>
                ) for contracts between controllers and processors [and the General Data Protection Regulation (
                <ital>(EU) 2016/679)</ital>
                ].
              </paratext>
            </para>
          </clause>
        </recitals>
        <operative xrefname="clause">
          <head align="left" preservecase="true">
            <headtext>AGREED TERMS</headtext>
          </head>
          <clause id="a235906">
            <identifier>1.</identifier>
            <head align="left" preservecase="true">
              <headtext>Definitions and Interpretation</headtext>
            </head>
            <drafting.note id="a106966" jurisdiction="">
              <head align="left" preservecase="true">
                <headtext>Definitions and Interpretation</headtext>
              </head>
              <division id="a000006" level="1">
                <para>
                  <paratext>Definitions and interpretation clauses make agreements shorter and easier to read by reducing repetition within the document and alerting the reader to key concepts affecting the clauses that follow. Defining key words and phrases early in the agreement's terms also helps avoid ambiguity and allows the parties to set their own specific meanings that might differ from ordinary dictionary definitions.</paratext>
                </para>
                <para>
                  <paratext>
                    This standard document uses 
                    <link href="w-027-1020" style="ACTLinkPLCtoPLC">
                      <ital>UK GDPR</ital>
                    </link>
                     definitions in so far as they are not reformulated by the 
                    <link href="w-014-9417" style="ACTLinkPLCtoPLC">
                      <ital>DPA 2018</ital>
                    </link>
                    . Where such reformulation has taken place or the DPA 2018 creates a new definition, the DPA 2018's text is used for legal certainty. For more information on key UK GDPR definitions, see 
                    <link anchor="a210987" href="w-013-3757" style="ACTLinkPLCtoPLC">
                      <ital>Practice note, Overview of UK GDPR: Definitions</ital>
                    </link>
                    .
                  </paratext>
                </para>
                <para>
                  <paratext>
                    Where the parties want the agreement to also cover the 
                    <link href="6-631-1875" style="ACTLinkPLCtoPLC">
                      <ital>EU GDPR</ital>
                    </link>
                     (or deem it prudent to include this as there is a possibility of the EU GDPR applying), the definition of Data Protection Legislation will need to cover the EU GDPR in accordance with one of the options below.
                  </paratext>
                </para>
                <para>
                  <paratext>We have also included a simple definition for various terms by reference to the applicable data protection legislation, which would therefore cover terms in both the UK and EU GDPRs and alternative individual definitions for these terms by reference to the UK GDPR only. Organisations should therefore choose the most appropriate set.</paratext>
                </para>
              </division>
            </drafting.note>
            <para>
              <paratext>The following definitions and rules of interpretation apply in this Agreement.</paratext>
            </para>
            <subclause1 id="a200446">
              <identifier>1.1</identifier>
              <para>
                <paratext>Definitions:</paratext>
              </para>
              <drafting.note id="a717598" jurisdiction="">
                <head align="left" preservecase="true">
                  <headtext>Authorised persons</headtext>
                </head>
                <division id="a000007" level="1">
                  <para>
                    <paratext>
                      Customers who want or need to ensure that specific employees provide all the written data processing instructions to the processor should establish a clear process for identifying those individuals in the agreement (see 
                      <internal.reference refid="a310844">Drafting note, Controller's instructions</internal.reference>
                      ).
                    </paratext>
                  </para>
                  <para>
                    <paratext>
                      The optional definition below allows the customer to identify the specific people or job roles authorised to give the service provider written instructions in 
                      <internal.reference refid="a976303">Annex A</internal.reference>
                      . This allows ease of reference for those tasked with managing and operating the service provider relationship. Alternatively, the parties can directly describe the method for establishing who may legitimately provide the customer's written instructions in this definition.
                    </paratext>
                  </para>
                </division>
              </drafting.note>
              <defn.item id="a720131">
                <defn.term>Authorised Persons</defn.term>
                <defn>
                  <para>
                    <paratext>
                      the persons or categories of persons that the Customer authorises to give the Provider written personal data processing instructions [as identified in 
                      <internal.reference refid="a976303">Annex A</internal.reference>
                       OR [AUTHORISED PERSON DESCRIPTION] and from whom the Provider agrees solely to accept such instructions.
                    </paratext>
                  </para>
                </defn>
                <drafting.note id="a247799" jurisdiction="">
                  <head align="left" preservecase="true">
                    <headtext>Business purposes</headtext>
                  </head>
                  <division id="a000008" level="1">
                    <para>
                      <paratext>
                        This agreement limits the service provider's personal data use to specifically identified business purposes (see 
                        <internal.reference refid="a614262">Drafting note, Personal data types and processing purposes</internal.reference>
                         and 
                        <internal.reference refid="a770683">Drafting note, Controller or processor</internal.reference>
                        ). The definition below ties the business purposes defined term to the services the customer obtains in the underlying master services agreement, but it also allows the parties to identify the specific business purposes in 
                        <internal.reference refid="a976303">Annex A</internal.reference>
                        .
                      </paratext>
                    </para>
                  </division>
                </drafting.note>
              </defn.item>
              <defn.item id="a612080">
                <defn.term>Business Purposes</defn.term>
                <defn>
                  <para>
                    <paratext>
                      the services to be provided by the Provider to the Customer as described in the Master Agreement and any other purpose specifically identified in 
                      <internal.reference refid="a976303">Annex A</internal.reference>
                      .
                    </paratext>
                  </para>
                  <para>
                    <paratext>
                      <bold>Commissioner</bold>
                      :
                      <bold> </bold>
                      the Information Commissioner (see Article 4(A3), UK GDPR and section 114, DPA 2018).
                    </paratext>
                  </para>
                  <para>
                    <paratext>
                      <bold>[Controller, Processor, Data Subject, Personal Data, Personal Data Breach and Processing</bold>
                      : have the meanings given to them in the Data Protection Legislation.]
                    </paratext>
                  </para>
                  <para>
                    <paratext>
                      <bold>[Controller: </bold>
                      has the meaning given to it in section 6, DPA 2018.]
                    </paratext>
                  </para>
                </defn>
              </defn.item>
              <defn.item id="a164388">
                <defn.term>[Data Protection Legislation</defn.term>
                <defn>
                  <para>
                    <paratext>
                      all applicable data protection and privacy legislation in force from time to time in the UK including without limitation the UK GDPR; the Data Protection Act 2018 (and regulations made thereunder) (
                      <bold>DPA 2018</bold>
                      ); and the Privacy and Electronic Communications Regulations 2003 (SI 2003/2426) as amended; [[and all other legislation and regulatory requirements in force from time to time which apply to a party relating to the use of personal data (including, without limitation, the privacy of electronic communications);] [and the guidance and codes of practice issued by the Commissioner or other relevant regulatory authority and which are applicable to a party].
                    </paratext>
                  </para>
                  <para>
                    <paratext>
                      <bold>OR</bold>
                    </paratext>
                  </para>
                  <para>
                    <paratext>
                      <bold>Data Protection Legislation:</bold>
                    </paratext>
                  </para>
                  <list type="loweralpha">
                    <list.item>
                      <para>
                        <paratext>To the extent the UK GDPR applies, the law of the United Kingdom or of a part of the United Kingdom which relates to the protection of personal data.</paratext>
                      </para>
                    </list.item>
                    <list.item>
                      <para>
                        <paratext>To the extent the EU GDPR applies, the law of the European Union or any member state of the European Union to which the Customer or Provider is subject, which relates to the protection of personal data.]</paratext>
                      </para>
                    </list.item>
                  </list>
                </defn>
                <drafting.note id="a968420" jurisdiction="">
                  <head align="left" preservecase="true">
                    <headtext>Data protection legislation</headtext>
                  </head>
                  <division id="a000009" level="1">
                    <para>
                      <paratext>
                        Because this agreement is only meant to cover data transfers under the 
                        <link href="w-027-1020" style="ACTLinkPLCtoPLC">
                          <ital>UK GDPR</ital>
                        </link>
                        , the definition of "Data Protection Legislation" is broadly as set out in section 3(9), 
                        <link href="w-014-9417" style="ACTLinkPLCtoPLC">
                          <ital>DPA 2018 </ital>
                        </link>
                         and will be appropriate in most cases where both the customer and provider are incorporated under UK law and neither party's processing activities relate to them offering goods or services to individuals in the EU or monitoring the behaviour of such individuals within the EU. It also includes an optional reference to guidance and codes of practice, which the parties may prefer to remove as these have the potential to change frequently and will be open to interpretation.
                      </paratext>
                    </para>
                    <para>
                      <paratext>
                        However, if the parties are also subject to the 
                        <link href="6-631-1875" style="ACTLinkPLCtoPLC">
                          <ital>EU GDPR</ital>
                        </link>
                        , or other data protection legislation (or deem it prudent to include this as there is a possibility of the EU GDPR applying), they should consider amending the definition of Data Protection Legislation to include the additional wording shown.
                      </paratext>
                    </para>
                    <para>
                      <paratext>Alternatively, if the parties only wish to cover the UK GDPR and EU GDPR, the second definition option can be used.</paratext>
                    </para>
                    <para>
                      <paratext>The DPA 2018 supplements the UK GDPR and both pieces of legislation should be considered alongside each other.  Note that in some cases the DPA 2018 modifies the UK GDPR definitions or includes additional definitions. For example, the DPA 2018 includes a definition of public authority as relevant to the UK, a definition of Commissioner and of filing system.</paratext>
                    </para>
                    <para>
                      <paratext>
                        For DPA 2018 definitions that apply throughout the DPA 2018, see 
                        <link href="w-014-9738" style="ACTLinkPLCtoPLC">
                          <ital>section 3</ital>
                        </link>
                        , DPA 2018 and for DPA 2018 definitions that apply to general processing covered by the UK GDPR under Part 2 of the DPA 2018, see 
                        <link href="w-016-3453" style="ACTLinkPLCtoPLC">
                          <ital>sections 4 to 7</ital>
                        </link>
                        , DPA 2018.
                      </paratext>
                    </para>
                    <para>
                      <paratext>
                        Where the processing relates only to law enforcement processing (covered by Part 3, DPA 2018) or intelligence services processing (covered by Part 4, DPA 2018), the DPA 2018 applies and not the UK GDPR and the parties may wish to amend the definitions and this agreement to reflect this. Although the provisions governing the controller/processor relationship in Parts 3 and 4 are broadly equivalent to those in Part 2, there are differences, in particular around the data subject rights and the obligation to keep logs (section 62, DPA 2018), which should be taken into account in the drafting of this agreement. For more information on the data protection legislation, see 
                        <link href="w-013-3757" style="ACTLinkPLCtoPLC">
                          <ital>Practice notes: Overview of UK GDPR</ital>
                        </link>
                         and 
                        <link href="w-014-5998" style="ACTLinkPLCtoPLC">
                          <ital>Data Protection Act 2018: overview</ital>
                        </link>
                        .
                      </paratext>
                    </para>
                    <para>
                      <paratext>
                        Where the EU GDPR applies, each member state will have local data protection legislation, see 
                        <link href="w-012-6272" style="ACTLinkPLCtoPLC">
                          <ital>Practice note, GDPR Member State Permitted Variations and Requirements Chart: Overview</ital>
                        </link>
                        .
                      </paratext>
                    </para>
                  </division>
                </drafting.note>
              </defn.item>
              <defn.item id="a833770">
                <defn.term>[Data Subject</defn.term>
                <defn>
                  <para>
                    <paratext>the identified or identifiable living individual to whom the Personal Data relates.]</paratext>
                  </para>
                </defn>
              </defn.item>
              <defn.item id="a592973">
                <defn.term>[EU GDPR</defn.term>
                <defn>
                  <para>
                    <paratext>the General Data Protection Regulation ((EU) 2016/679).]</paratext>
                  </para>
                </defn>
                <drafting.note id="a555963" jurisdiction="">
                  <head align="left" preservecase="true">
                    <headtext>EU GDPR (optional definition)</headtext>
                  </head>
                  <division id="a000010" level="1">
                    <para>
                      <paratext>
                        This is an optional definition. A definition for 
                        <link href="6-631-1875" style="ACTLinkPLCtoPLC">
                          <ital>EU GDPR</ital>
                        </link>
                         can be included depending on how Data Protection Legislation is defined.
                      </paratext>
                    </para>
                  </division>
                </drafting.note>
              </defn.item>
              <defn.item id="a600873">
                <defn.term>EEA</defn.term>
                <defn>
                  <para>
                    <paratext>the European Economic Area.</paratext>
                  </para>
                </defn>
                <drafting.note id="a148012" jurisdiction="">
                  <head align="left" preservecase="true">
                    <headtext>Personal data</headtext>
                  </head>
                  <division id="a000011" level="1">
                    <para>
                      <paratext>
                        The agreement uses the definition of personal data at section 3(2), 
                        <link href="w-014-9417" style="ACTLinkPLCtoPLC">
                          <ital>DPA 2018</ital>
                        </link>
                         (subject to section 3(14)(c) combining it with the definition of identifiable living individual at section 3(3)).
                      </paratext>
                    </para>
                    <para>
                      <paratext>
                        To determine whether a person is identifiable, account should be taken of all the means reasonably likely to be used, such as "singling out", either by the controller or by another person to identify the natural person either directly or indirectly. To ascertain whether means are reasonably likely to be used to identify the natural person, account should be taken of all objective factors, such as the costs of and the amount of time required for identification, taking into consideration the available technology at the time of the processing and technological developments (
                        <ital>Recital 26, </ital>
                        <link href="w-027-1020" style="ACTLinkPLCtoPLC">
                          <ital>UK GDPR</ital>
                        </link>
                        ).
                      </paratext>
                    </para>
                    <para>
                      <paratext>Examples of personal data include:</paratext>
                    </para>
                    <list type="bulleted">
                      <list.item>
                        <para>
                          <paratext>Personal information, such as name and address.</paratext>
                        </para>
                      </list.item>
                      <list.item>
                        <para>
                          <paratext>Family details.</paratext>
                        </para>
                      </list.item>
                      <list.item>
                        <para>
                          <paratext>Lifestyle and hobbies.</paratext>
                        </para>
                      </list.item>
                      <list.item>
                        <para>
                          <paratext>Education and training.</paratext>
                        </para>
                      </list.item>
                      <list.item>
                        <para>
                          <paratext>Health-related information.</paratext>
                        </para>
                      </list.item>
                      <list.item>
                        <para>
                          <paratext>Employment data.</paratext>
                        </para>
                      </list.item>
                      <list.item>
                        <para>
                          <paratext>Financial information.</paratext>
                        </para>
                      </list.item>
                      <list.item>
                        <para>
                          <paratext>Contractual information (for example, goods and services provided to or by the data subject).</paratext>
                        </para>
                      </list.item>
                    </list>
                  </division>
                </drafting.note>
              </defn.item>
              <defn.item id="a577667">
                <defn.term>[Personal Data</defn.term>
                <defn>
                  <para>
                    <paratext>means any information relating to an identified or identifiable living individual that is processed by the Provider on behalf of the Customer as a result of, or in connection with, the provision of the services under the Master Agreement; an identifiable living individual is one who can be identified, directly or indirectly, in particular by reference to an identifier such as a name, identification number, location data, an online identifier or to one or more factors specific to the physical, physiological, genetic, mental, economic, cultural or social identity of the individual.]</paratext>
                  </para>
                </defn>
              </defn.item>
              <defn.item id="a353822">
                <defn.term>[Processing, processes, processed, process</defn.term>
                <defn>
                  <para>
                    <paratext>any activity that involves the use of the Personal Data. It includes, but is not limited to, any operation or set of operations which is performed on the Personal Data or on sets of the Personal Data, whether or not by automated means, such as collection, recording, organisation, structuring, storage, adaptation or alteration, retrieval, consultation, disclosure by transmission, dissemination or otherwise making available, alignment or combination, restriction, erasure or destruction. Processing also includes transferring the Personal Data to third-parties.]</paratext>
                  </para>
                </defn>
                <drafting.note id="a818587" jurisdiction="">
                  <head align="left" preservecase="true">
                    <headtext>Personal data breach</headtext>
                  </head>
                  <division id="a000012" level="1">
                    <para>
                      <paratext>
                        The agreement uses the definition of personal data breach at Article 4(12) of the 
                        <link href="w-027-1020" style="ACTLinkPLCtoPLC">
                          <ital>UK GDPR</ital>
                        </link>
                        .
                      </paratext>
                    </para>
                    <para>
                      <paratext>
                        Customers entrusting service providers with personal data typically expect notification if the service provider experiences any threats to the security of that data (see 
                        <internal.reference refid="a760324">Drafting note, Security</internal.reference>
                         and 
                        <internal.reference refid="a878709">Drafting note, Personal data breach</internal.reference>
                        ).
                      </paratext>
                    </para>
                  </division>
                </drafting.note>
              </defn.item>
              <defn.item id="a338061">
                <defn.term>[Personal Data Breach</defn.term>
                <defn>
                  <para>
                    <paratext>a breach of security leading to the accidental, unauthorised or unlawful destruction, loss, alteration, disclosure of, or access to, the Personal Data.]</paratext>
                  </para>
                  <para>
                    <paratext>
                      <bold>[Processor</bold>
                      : a natural or legal person, public authority, agency or other body which processes personal data on behalf of the Controller.]
                    </paratext>
                  </para>
                  <para>
                    <paratext>
                      <bold>Records</bold>
                      : has the meaning given to it in Clause 12.
                    </paratext>
                  </para>
                  <para>
                    <paratext>
                      <bold>Term</bold>
                      : this Agreement's term as defined in Clause 10.
                    </paratext>
                  </para>
                  <para>
                    <paratext>
                      <bold>UK GDPR: </bold>
                      has the meaning given to it in section 3(10) (as supplemented by section 205(4)) of the DPA 2018.
                    </paratext>
                  </para>
                </defn>
              </defn.item>
            </subclause1>
            <subclause1 id="a514097">
              <identifier>1.2</identifier>
              <para>
                <paratext>This Agreement is subject to the terms of the Master Agreement and is incorporated into the Master Agreement. Interpretations and defined terms set forth in the Master Agreement apply to the interpretation of this Agreement.</paratext>
              </para>
            </subclause1>
            <subclause1 id="a603258">
              <identifier>1.3</identifier>
              <para>
                <paratext>The Annexes form part of this Agreement and will have effect as if set out in full in the body of this Agreement. Any reference to this Agreement includes the Annexes.</paratext>
              </para>
            </subclause1>
            <subclause1 id="a620333">
              <identifier>1.4</identifier>
              <para>
                <paratext>
                  A reference to writing or written includes faxes [but not 
                  <bold>OR</bold>
                   and email].
                </paratext>
              </para>
              <drafting.note id="a953979" jurisdiction="">
                <head align="left" preservecase="true">
                  <headtext>Conflict or ambiguity</headtext>
                </head>
                <division id="a000013" level="1">
                  <para>
                    <paratext>When an agreement consists of multiple documents, it is important to specify the order of precedence in the event of a conflict. Here, the more specific requirements protecting personal data should prevail over any general terms contained in the underlying master or service agreement.</paratext>
                  </para>
                </division>
              </drafting.note>
            </subclause1>
            <subclause1 id="a421948">
              <identifier>1.5</identifier>
              <para>
                <paratext>In the case of conflict or ambiguity between:</paratext>
              </para>
              <subclause2 id="a357195">
                <identifier>(a)</identifier>
                <para>
                  <paratext>any provision contained in the body of this Agreement and any provision contained in the Annexes, the provision in the body of this Agreement will prevail;</paratext>
                </para>
              </subclause2>
              <subclause2 id="a507773">
                <identifier>(b)</identifier>
                <para>
                  <paratext>the terms of any accompanying invoice or other documents annexed to this Agreement and any provision contained in the Annexes, the provision contained in the Annexes will prevail; and</paratext>
                </para>
              </subclause2>
              <subclause2 id="a590939">
                <identifier>(c)</identifier>
                <para>
                  <paratext>any of the provisions of this Agreement and the provisions of the Master Agreement, the provisions of this Agreement will prevail.</paratext>
                </para>
              </subclause2>
            </subclause1>
          </clause>
          <clause id="a318124">
            <identifier>2.</identifier>
            <head align="left" preservecase="true">
              <headtext>Personal data types and processing purposes</headtext>
            </head>
            <drafting.note id="a614262" jurisdiction="">
              <head align="left" preservecase="true">
                <headtext>Personal data types and processing purposes</headtext>
              </head>
              <division id="a000014" level="1">
                <para>
                  <paratext>
                    While contractual statements identifying one party as the controller and the other as the processor do not bind the Commissioner, who will look at the actual relationship between the parties, 
                    <internal.reference refid="a394949">Clause 2.1</internal.reference>
                     clarifies the parties' intentions regarding their respective roles and the parties may submit the agreement as evidence in a dispute. See 
                    <link href="w-019-8440" style="ACTLinkPLCtoPLC">
                      <ital>Concepts of controller and processor (UK): checklist</ital>
                    </link>
                     and 
                    <link anchor="a667133" href="w-025-2861" style="ACTLinkPLCtoPLC">
                      <ital>Practice note, Processor obligations under UK GDPR : Determining whether an organisation acts as controller or processor</ital>
                    </link>
                    .
                  </paratext>
                </para>
                <para>
                  <paratext>
                    The 
                    <link href="w-027-1020" style="ACTLinkPLCtoPLC">
                      <ital>UK GDPR</ital>
                    </link>
                     restricts personal data collection and processing to specified lawful purposes and prohibits further processing that is incompatible with those purposes.
                  </paratext>
                </para>
                <para>
                  <paratext>Identifying this information in an annex to the personal data processing agreement that the parties must keep up-to-date helps customers comply with their recordkeeping obligations and other data protection compliance requirements.</paratext>
                </para>
              </division>
            </drafting.note>
            <subclause1 id="a394949">
              <identifier>2.1</identifier>
              <para>
                <paratext>The Customer and the Provider agree and acknowledge that for the purpose of the Data Protection Legislation:</paratext>
              </para>
              <subclause2 id="a310924">
                <identifier>(a)</identifier>
                <para>
                  <paratext>the Customer is the Controller and the Provider is the Processor.</paratext>
                </para>
              </subclause2>
              <subclause2 id="a490621">
                <identifier>(b)</identifier>
                <para>
                  <paratext>the Customer retains control of the Personal Data and remains responsible for its compliance obligations under the Data Protection Legislation, including but not limited to, providing any required notices and obtaining any required consents, and for the written processing instructions it gives to the Provider.</paratext>
                </para>
              </subclause2>
              <subclause2 id="a902103">
                <identifier>(c)</identifier>
                <para>
                  <paratext>
                    <internal.reference refid="a976303">Annex A</internal.reference>
                     describes the subject matter, duration, nature and purpose of the processing and the Personal Data categories and Data Subject types in respect of which the Provider may process the Personal Data to fulfil the Business Purposes.
                  </paratext>
                </para>
              </subclause2>
            </subclause1>
          </clause>
          <clause id="a836641">
            <identifier>3.</identifier>
            <head align="left" preservecase="true">
              <headtext>Provider's obligations</headtext>
            </head>
            <drafting.note id="a310844" jurisdiction="">
              <head align="left" preservecase="true">
                <headtext>Controller's instructions</headtext>
              </head>
              <division id="a000015" level="1">
                <para>
                  <paratext>
                    The 
                    <link href="w-027-1020" style="ACTLinkPLCtoPLC">
                      <ital>UK GDPR</ital>
                    </link>
                     imposes a direct obligation on processors to only process personal data in accordance with the controller's instructions unless otherwise required to do so by applicable UK law (
                    <ital>Article 29, UK GDPR</ital>
                    ).
                  </paratext>
                </para>
                <para>
                  <paratext>This requirement that the processor will only process personal data on the instructions from the controller must be included in the data processing agreement. This ensures the controller retains adequate control and responsibility over the personal data it entrusts to the processor. In practice, this requirement gives customers more control over the way their service providers carry out their instructions and restricts the processor's use to approved business purposes.</paratext>
                </para>
                <para>
                  <paratext>
                    The UK GDPR also requires that personal data shall be accurate and where necessary kept up to date (
                    <ital>Article 5(1)(d), UK GDPR</ital>
                    ). If the data subject's details or data processing circumstances change, the agreement must require service providers to make the necessary revisions.
                  </paratext>
                </para>
                <para>
                  <paratext>Article 28(3)(f) requires the processor to assist the controller in ensuring compliance with its obligations relating to security, breach notification, data protection impact assessments and consulting with the Information Commissioner set out in Articles 32 to 36.</paratext>
                </para>
                <para>
                  <paratext>Article 28(3)(h) of the UK GDPR requires the processor to provide the controller with all information necessary to demonstrate compliance with Article 28, and also provides that the processor shall immediately inform the controller, if, in its opinion, an instruction infringes the UK GDPR or any other domestic law relating to data protection.</paratext>
                </para>
                <para>
                  <paratext>Service providers operating in certain highly regulated industries may also want to establish specific protocols for receiving customer instructions. For example, in the financial services context, the service provider might need to know:</paratext>
                </para>
                <list type="bulleted">
                  <list.item>
                    <para>
                      <paratext>The form that proper instructions should take (for example, instant messages are less acceptable than emails, which, in turn, are less acceptable than written hardcopy instructions).</paratext>
                    </para>
                  </list.item>
                  <list.item>
                    <para>
                      <paratext>The identity or required level of authority of the person authorised to instruct them.</paratext>
                    </para>
                  </list.item>
                  <list.item>
                    <para>
                      <paratext>Whether the customer must provide written or signed instructions that match previously provided specimen signatures.</paratext>
                    </para>
                  </list.item>
                  <list.item>
                    <para>
                      <paratext>How the customer will notify the service provider of changes in the authorised persons list.</paratext>
                    </para>
                  </list.item>
                </list>
              </division>
            </drafting.note>
            <subclause1 id="a172518">
              <identifier>3.1</identifier>
              <para>
                <paratext>The Provider will only process the Personal Data to the extent, and in such a manner, as is necessary for the Business Purposes in accordance with the Customer's written instructions. The Provider will not process the Personal Data for any other purpose or in a way that does not comply with this Agreement or the Data Protection Legislation. The Provider must promptly notify the Customer if, in its opinion, the Customer's instructions do not comply with the Data Protection Legislation.</paratext>
              </para>
            </subclause1>
            <subclause1 id="a541422">
              <identifier>3.2</identifier>
              <para>
                <paratext>The Provider must comply promptly with any Customer written instructions requiring the Provider to amend, transfer, delete or otherwise process the Personal Data, or to stop, mitigate or remedy any unauthorised processing.</paratext>
              </para>
            </subclause1>
            <subclause1 id="a905957">
              <identifier>3.3</identifier>
              <para>
                <paratext>The Provider will maintain the confidentiality of the Personal Data and will not disclose the Personal Data to third-parties unless the Customer or this Agreement specifically authorises the disclosure, or as required by domestic [or EU] law, court or regulator (including the Commissioner). If a domestic [or EU] law, court or regulator (including the Commissioner) requires the Provider to process or disclose the Personal Data to a third-party, the Provider must first inform the Customer of such legal or regulatory requirement and give the Customer an opportunity to object or challenge the requirement, unless the domestic [or EU] law prohibits the giving of such notice.</paratext>
              </para>
            </subclause1>
            <subclause1 id="a633651">
              <identifier>3.4</identifier>
              <para>
                <paratext>The Provider will reasonably assist the Customer, at no additional cost to the Customer, with meeting the Customer's compliance obligations under the Data Protection Legislation, taking into account the nature of the Provider's processing and the information available to the Provider, including in relation to Data Subject rights, data protection impact assessments and reporting to and consulting with the Commissioner [or other relevant regulator] under the Data Protection Legislation.</paratext>
              </para>
            </subclause1>
            <subclause1 id="a543411">
              <identifier>3.5</identifier>
              <para>
                <paratext>The Provider must notify the Customer promptly of any changes to the Data Protection Legislation that may reasonably be interpreted as adversely affecting the Provider's performance of the Master Agreement or this Agreement.</paratext>
              </para>
            </subclause1>
            <subclause1 id="a167126">
              <identifier>3.6</identifier>
              <para>
                <paratext>[The Provider will only collect Personal Data for the Customer using a notice or method that the Customer specifically pre-approves in writing, which contains an approved data privacy notice informing the Data Subject of the Customer's identity, the purpose or purposes for which their Personal Data will be processed, and any other information that, having regard to the specific circumstances of the collection and expected processing, is required to enable fair processing. The Provider will not modify or alter the notice in any way without the Customer's written consent.]</paratext>
              </para>
            </subclause1>
          </clause>
          <clause id="a925521">
            <identifier>4.</identifier>
            <head align="left" preservecase="true">
              <headtext>Provider's employees</headtext>
            </head>
            <drafting.note id="a486721" jurisdiction="">
              <head align="left" preservecase="true">
                <headtext>Provider's employees</headtext>
              </head>
              <division id="a000016" level="1">
                <division id="a256311" level="2">
                  <head align="left" preservecase="true">
                    <headtext>Training</headtext>
                  </head>
                  <para>
                    <paratext>Employee training forms an important component of any strong data protection compliance programme. This clause requires the service provider to make sure all of its employees involved in personal data processing understand their personal data protection obligations and the approved data uses. The service provider must also train its employees on the data protection laws applicable to the processing of the personal data, the service provider's duties under the agreement and the employee's specific duties and obligations.</paratext>
                  </para>
                  <para>
                    <paratext>This clause carries practical importance for customers because it enables them to take action if a service provider fails to properly train or supervise adequately its employees, even if that failure never directly leads to personal data loss or misuse.</paratext>
                  </para>
                </division>
                <division id="a983717" level="2">
                  <head align="left" preservecase="true">
                    <headtext>Integrity</headtext>
                  </head>
                  <para>
                    <paratext>
                      Optional 
                      <internal.reference refid="a539633">Clause 4.2</internal.reference>
                       requires the service provider to ensure that it only employs reliable personnel to process personal data for the customer. Clause 4.2 may be most appropriate when service providers are handling special categories of personal data or other information widely believed to be of a sensitive nature such as consumer financial information. Service providers may resist the clause because it does go beyond the 
                      <link href="w-027-1020" style="ACTLinkPLCtoPLC">
                        <ital>UK GDPR</ital>
                      </link>
                      's requirements.
                    </paratext>
                  </para>
                </division>
              </division>
            </drafting.note>
            <subclause1 id="a259299">
              <identifier>4.1</identifier>
              <para>
                <paratext>The Provider will ensure that all of its employees:</paratext>
              </para>
              <subclause2 id="a468568">
                <identifier>(a)</identifier>
                <para>
                  <paratext>are informed of the confidential nature of the Personal Data and are bound by written confidentiality obligations and use restrictions in respect of the Personal Data;</paratext>
                </para>
              </subclause2>
              <subclause2 id="a844254">
                <identifier>(b)</identifier>
                <para>
                  <paratext>have undertaken training on the Data Protection Legislation and how it relates to their handling of the Personal Data and how it applies to their particular duties; and</paratext>
                </para>
              </subclause2>
              <subclause2 id="a532529">
                <identifier>(c)</identifier>
                <para>
                  <paratext>are aware both of the Provider's duties and their personal duties and obligations under the Data Protection Legislation and this Agreement.</paratext>
                </para>
              </subclause2>
            </subclause1>
            <subclause1 id="a539633">
              <identifier>4.2</identifier>
              <para>
                <paratext>[The Provider will take reasonable steps to ensure the reliability, integrity and trustworthiness of [and conduct background checks consistent with applicable domestic law on] all of the Provider's employees with access to the Personal Data.]</paratext>
              </para>
            </subclause1>
          </clause>
          <clause id="a334013">
            <identifier>5.</identifier>
            <head align="left" preservecase="true">
              <headtext>Security</headtext>
            </head>
            <drafting.note id="a760324" jurisdiction="">
              <head align="left" preservecase="true">
                <headtext>Security</headtext>
              </head>
              <division id="a000017" level="1">
                <para>
                  <paratext>The damage, corruption, destruction or loss of personal data may negatively affect the customer's business and breach the customer's data protection obligations. Customers must therefore ensure that their service providers establish appropriate technical and organisational measures to prevent accidental loss, corruption or destruction of, or damage to, personal data.</paratext>
                </para>
                <para>
                  <paratext>Customers with specific security needs or expectations should list those requirements in an annex. As best practice, many customers also require their suppliers to maintain information security programmes evidenced in writing and regularly review them for gaps or evolving security threats.</paratext>
                </para>
                <para>
                  <paratext>Service providers should also advise their customers if technology changes require updates to their security measures. The customer typically relies on the service provider's data security expertise in relation to the particular processing that the agreement contemplates. Typically, because of their experience, the service provider can gauge better the sufficiency and suitability of security measures and keep up to date with current trends. While the parties must balance the costs of updating security against the risk of a security breach, the customer, as the controller, must ultimately carry out this risk assessment based on information that the service provider supplies.</paratext>
                </para>
                <para>
                  <paratext>
                    Article 28(3)(c) of the 
                    <link href="w-027-1020" style="ACTLinkPLCtoPLC">
                      <ital>UK GDPR</ital>
                    </link>
                     obliges processors to take all measures required to comply with Article 32. Article 32 of the UK GDPR imposes specific data security requirements on controllers and processors. Article 32(1) sets out the obligation to maintain appropriate security measures and identifies ways in which this may be achieved. These are reflected in the wording here.
                  </paratext>
                </para>
                <para>
                  <paratext>
                    For more information see 
                    <link href="w-013-5138" style="ACTLinkPLCtoPLC">
                      <ital>Practice note, Data security under the UK GDPR and DPA 2018</ital>
                    </link>
                     and 
                    <link anchor="a704159" href="w-025-2861" style="ACTLinkPLCtoPLC">
                      <ital>Processor obligations under UK GDPR: Security obligations</ital>
                    </link>
                    .
                  </paratext>
                </para>
                <para>
                  <paratext>As the clause is wider than that legally mandated by Article 32, it may be resisted by service providers.</paratext>
                </para>
              </division>
            </drafting.note>
            <subclause1 id="a944762">
              <identifier>5.1</identifier>
              <para>
                <paratext>
                  The Provider must at all times implement appropriate technical and organisational measures against accidental, unauthorised or unlawful processing, access, copying, modification, reproduction, display or distribution of the Personal Data, and against accidental or unlawful loss, destruction, alteration, disclosure or damage of Personal Data including, but not limited to, the security measures set out in 
                  <internal.reference refid="a981375">Annex B</internal.reference>
                  . [The Provider must document those measures in writing and periodically review them at least [INSERT FREQUENCY] to ensure they remain current and complete.]
                </paratext>
              </para>
            </subclause1>
            <subclause1 id="a952094">
              <identifier>5.2</identifier>
              <para>
                <paratext>The Provider must implement such measures to ensure a level of security appropriate to the risk involved, including as appropriate:</paratext>
              </para>
              <subclause2 id="a586875">
                <identifier>(a)</identifier>
                <para>
                  <paratext>the pseudonymisation and encryption of personal data;</paratext>
                </para>
              </subclause2>
              <subclause2 id="a717355">
                <identifier>(b)</identifier>
                <para>
                  <paratext>the ability to ensure the ongoing confidentiality, integrity, availability and resilience of processing systems and services;</paratext>
                </para>
              </subclause2>
              <subclause2 id="a307747">
                <identifier>(c)</identifier>
                <para>
                  <paratext>the ability to restore the availability and access to personal data in a timely manner in the event of a physical or technical incident; and</paratext>
                </para>
              </subclause2>
              <subclause2 id="a689253">
                <identifier>(d)</identifier>
                <para>
                  <paratext>a process for regularly testing, assessing and evaluating the effectiveness of the security measures.</paratext>
                </para>
              </subclause2>
            </subclause1>
          </clause>
          <clause id="a192400">
            <identifier>6.</identifier>
            <head align="left" preservecase="true">
              <headtext>Personal data breach</headtext>
            </head>
            <drafting.note id="a878709" jurisdiction="">
              <head align="left" preservecase="true">
                <headtext>Personal data breach</headtext>
              </head>
              <division id="a000018" level="1">
                <para>
                  <paratext>
                    Article 33(2), 
                    <link href="w-027-1020" style="ACTLinkPLCtoPLC">
                      <ital>UK GDPR</ital>
                    </link>
                     places an obligation on processors to notify the controller without undue delay after learning of a personal data breach. Controllers must report a personal data breach to the Commissioner without undue delay and where feasible within 72 hours of having become aware of it (
                    <ital>Article 33(1) UK GDPR</ital>
                    ). For further information see 
                    <link anchor="a769222" href="w-013-3757" style="ACTLinkPLCtoPLC">
                      <ital>Practice notes, Overview of UK GDPR: Notification of data security breaches to supervisory authorities</ital>
                    </link>
                    <ital>, </ital>
                    <link href="w-013-5105" style="ACTLinkPLCtoPLC">
                      <ital>Data breach notification (UK)</ital>
                    </link>
                     and 
                    <link anchor="a419719" href="w-025-2861" style="ACTLinkPLCtoPLC">
                      <ital>Processor obligations under UK GDPR: Data breach notification</ital>
                    </link>
                    .
                  </paratext>
                </para>
                <para>
                  <paratext>The data processing agreement requires the service provider to inform the customer of any personal data breach to ensure the customer can promptly address and remedy the situation. Processors will need to ensure they have the practical measures in place to detect and notify customers of personal data breaches.</paratext>
                </para>
                <para>
                  <paratext>Personal data carries substantial commercial value and restoration of the data may require the customer to contact the data subjects in question. The cost of notifying data subjects of a data breach, if required, is typically expensive. The service provider should bear the cost of a personal data breach response effort and for restoring or remedying personal data lost or destroyed while under its control.</paratext>
                </para>
                <para>
                  <paratext>
                    Providers may push back on clause 6.6 as they will want to have control over the form of notice provided to data subjects in situations where the provider caused the personal data breach and is legally responsible under the UK GDPR (
                    <ital>Articles 82(2) </ital>
                    and
                    <ital> 82(3), UK GDPR</ital>
                    .)
                  </paratext>
                </para>
              </division>
            </drafting.note>
            <subclause1 id="a609506">
              <identifier>6.1</identifier>
              <para>
                <paratext>The Provider will [immediately OR within [NUMBER] hours] and in any event without undue delay notify the Customer in writing if it becomes aware of:</paratext>
              </para>
              <subclause2 id="a499473">
                <identifier>(a)</identifier>
                <para>
                  <paratext>the loss, unintended destruction or damage, corruption, or unusability of part or all of the Personal Data. The Provider will restore such Personal Data at its own expense as soon as possible.</paratext>
                </para>
              </subclause2>
              <subclause2 id="a288850">
                <identifier>(b)</identifier>
                <para>
                  <paratext>any accidental, unauthorised or unlawful processing of the Personal Data; or</paratext>
                </para>
              </subclause2>
              <subclause2 id="a205868">
                <identifier>(c)</identifier>
                <para>
                  <paratext>any Personal Data Breach.</paratext>
                </para>
              </subclause2>
            </subclause1>
            <subclause1 id="a852848">
              <identifier>6.2</identifier>
              <para>
                <paratext>Where the Provider becomes aware of (a), (b) and/or (c) above, it will, without undue delay, also provide the Customer with the following written information:</paratext>
              </para>
              <subclause2 id="a221459">
                <identifier>(a)</identifier>
                <para>
                  <paratext>description of the nature of (a), (b) and/or (c), including the categories of in-scope Personal Data and approximate number of both Data Subjects and the Personal Data records concerned;</paratext>
                </para>
              </subclause2>
              <subclause2 id="a931665">
                <identifier>(b)</identifier>
                <para>
                  <paratext>the likely consequences; and</paratext>
                </para>
              </subclause2>
              <subclause2 id="a311369">
                <identifier>(c)</identifier>
                <para>
                  <paratext>a description of the measures taken or proposed to be taken to address (a), (b) and/or (c), including measures to mitigate its possible adverse effects.</paratext>
                </para>
              </subclause2>
            </subclause1>
            <subclause1 id="a366823">
              <identifier>6.3</identifier>
              <para>
                <paratext>Immediately following any accidental, unauthorised or unlawful Personal Data processing or Personal Data Breach, the parties will co-ordinate with each other to investigate the matter. Further, the Provider will reasonably co-operate with the Customer at no additional cost to the Customer, in the Customer's handling of the matter, including but not limited to:</paratext>
              </para>
              <subclause2 id="a281304">
                <identifier>(a)</identifier>
                <para>
                  <paratext>assisting with any investigation;</paratext>
                </para>
              </subclause2>
              <subclause2 id="a526998">
                <identifier>(b)</identifier>
                <para>
                  <paratext>providing the Customer with physical access to any facilities and operations affected;</paratext>
                </para>
              </subclause2>
              <subclause2 id="a867741">
                <identifier>(c)</identifier>
                <para>
                  <paratext>facilitating interviews with the Provider's employees, former employees and others involved in the matter including, but not limited to, its officers and directors;</paratext>
                </para>
              </subclause2>
              <subclause2 id="a167132">
                <identifier>(d)</identifier>
                <para>
                  <paratext>making available all relevant records, logs, files, data reporting and other materials required to comply with all Data Protection Legislation or as otherwise reasonably required by the Customer; and</paratext>
                </para>
              </subclause2>
              <subclause2 id="a978638">
                <identifier>(e)</identifier>
                <para>
                  <paratext>taking reasonable and prompt steps to mitigate the effects and to minimise any damage resulting from the Personal Data Breach or accidental, unauthorised or unlawful Personal Data processing.</paratext>
                </para>
              </subclause2>
            </subclause1>
            <subclause1 id="a751461">
              <identifier>6.4</identifier>
              <para>
                <paratext>The Provider will not inform any third-party of any accidental, unauthorised or unlawful processing of all or part of the Personal Data and/or a Personal Data Breach without first obtaining the Customer's written consent, except when required to do so by domestic [or EU] law.</paratext>
              </para>
            </subclause1>
            <subclause1 id="a564304">
              <identifier>6.5</identifier>
              <para>
                <paratext>The Provider agrees that the Customer has the sole right to determine:</paratext>
              </para>
              <subclause2 id="a216537">
                <identifier>(a)</identifier>
                <para>
                  <paratext>whether to provide notice of the accidental, unauthorised or unlawful processing and/or the  Personal Data Breach to any Data Subjects, the Commissioner, other in-scope regulators, law enforcement agencies or others, as required by law or regulation or in the Customer's discretion, including the contents and delivery method of the notice; and</paratext>
                </para>
              </subclause2>
              <subclause2 id="a464022">
                <identifier>(b)</identifier>
                <para>
                  <paratext>whether to offer any type of remedy to affected Data Subjects, including the nature and extent of such remedy.</paratext>
                </para>
              </subclause2>
            </subclause1>
            <subclause1 id="a970261">
              <identifier>6.6</identifier>
              <para>
                <paratext>
                  The Provider will cover all reasonable expenses associated with the performance of the obligations under 
                  <internal.reference refid="a609506">clause 6.1</internal.reference>
                   to 
                  <internal.reference refid="a366823">clause 6.3</internal.reference>
                   unless the matter arose from the Customer's specific written instructions, negligence, wilful default or breach of this Agreement, in which case the Customer will cover all reasonable expenses.
                </paratext>
              </para>
            </subclause1>
            <subclause1 id="a262648">
              <identifier>6.7</identifier>
              <para>
                <paratext>
                  The Provider will also reimburse the Customer for actual reasonable expenses that the Customer incurs when responding to an incident of accidental, unauthorised or unlawful processing and/or a Personal Data Breach to the extent that the Provider caused such, including all costs of notice and any remedy as set out in 
                  <internal.reference refid="a564304">Clause 6.5</internal.reference>
                  .
                </paratext>
              </para>
            </subclause1>
          </clause>
          <clause id="a888626">
            <identifier>7.</identifier>
            <head align="left" preservecase="true">
              <headtext>Cross-border transfers of personal data</headtext>
            </head>
            <drafting.note id="a663518" jurisdiction="">
              <head align="left" preservecase="true">
                <headtext>Cross-border transfers of personal data</headtext>
              </head>
              <division id="a000019" level="1">
                <para>
                  <paratext>
                    Although the 
                    <link href="w-027-1020" style="ACTLinkPLCtoPLC">
                      <ital>UK GDPR</ital>
                    </link>
                     treats countries outside the UK as third countries, the 
                    <link href="w-014-9417" style="ACTLinkPLCtoPLC">
                      <ital>DPA 2018</ital>
                    </link>
                     allows for transfers to EEA countries to continue on the basis of those countries being deemed adequate (
                    <ital>Schedule 21, DPA 2018</ital>
                    ).  Under the UK GDPR, processors are directly responsible for ensuring the legality of their transfers and may also need to consider if processing in the EEA brings them within the scope of the EU GDPR, see 
                    <link href="w-003-8899" style="ACTLinkPLCtoPLC">
                      <ital>Practice note, Determining the Applicability of the GDPR</ital>
                    </link>
                    . Where a processor intends to transfer to the EEA, the controller may wish to undertake further due diligence or seek confirmation that the processor is aware of its responsibilities and this clause can be adapted accordingly.
                  </paratext>
                </para>
                <para>
                  <paratext>
                    This precedent does not deal with transfers of personal data outside the UK or EEA. If the processor (or its subcontractor) intends to transfer data outside the UK or EEA, this precedent is not suitable. Instead use this precedent: 
                    <link href="w-013-2951" style="ACTLinkPLCtoPLC">
                      <ital>Standard document, Data processing agreement (controller-to-processor) (UK to non-EEA)</ital>
                    </link>
                    . For more information, see 
                    <link href="w-013-9203" style="ACTLinkPLCtoPLC">
                      <ital>Practice note, Cross-border transfers of personal data (UK)</ital>
                    </link>
                    . However, processors may transfer personal data outside the UK if required to do so by UK law but must inform the controller beforehand unless prohibited by domestic law on important grounds of public interest (
                    <ital>Article 28(3)(a), UK GDPR</ital>
                    ). See 
                    <link anchor="a954092" href="w-025-2861" style="ACTLinkPLCtoPLC">
                      <ital>Practice note, Processor obligations under UK GDPR: Data transfers to countries outside the EU</ital>
                    </link>
                    .
                  </paratext>
                </para>
                <para>
                  <paratext>
                    This document also does not cover transfers from EEA countries to the UK as it is likely that those transfers would fall under the EU GDPR. The UK has been deemed adequate for the purposes of data transfers from the EU, see 
                    <link anchor="a863864" href="w-013-9203" style="ACTLinkPLCtoPLC">
                      <ital>Practice note, Cross-border transfers of personal data (UK GDPR and DPA 2018): EU-UK adequacy decision and status of the UK as a third country under the EU GDPR</ital>
                    </link>
                    . Therefore, an organisation could consider adapting this agreement (assuming an agreement under English law was acceptable to the parties) to include data flows from the EEA to the UK under the EU GDPR but would need to amend the references to UK GDPR and Data Protection Legislation accordingly and would need take into account data protection requirements locally. See 
                    <internal.reference refid="a684047">Drafting note, EU GDPR applicability</internal.reference>
                    .
                  </paratext>
                </para>
                <para>
                  <paratext>
                    For more on data transfers, see 
                    <link href="w-013-9203" style="ACTLinkPLCtoPLC">
                      <ital>Practice note, Cross-border transfers of personal data (UK GDPR and DPA 2018)</ital>
                    </link>
                    .
                  </paratext>
                </para>
              </division>
            </drafting.note>
            <subclause1 id="a158410">
              <identifier>7.1</identifier>
              <para>
                <paratext>The Provider (and any subcontractor) must not transfer or otherwise process the Personal Data outside the UK [or, the EEA] without obtaining the Customer's prior written consent.</paratext>
              </para>
            </subclause1>
          </clause>
          <clause id="a778490">
            <identifier>8.</identifier>
            <head align="left" preservecase="true">
              <headtext>Subcontractors</headtext>
            </head>
            <drafting.note id="a380249" jurisdiction="">
              <head align="left" preservecase="true">
                <headtext>Subcontractors</headtext>
              </head>
              <division id="a000020" level="1">
                <para>
                  <paratext>
                    Article 28(2) of the 
                    <link href="w-027-1020" style="ACTLinkPLCtoPLC">
                      <ital>UK GDPR</ital>
                    </link>
                     contains restrictions to prevent processors from engaging sub-processors without the prior specific or general written authorisation of the controller. In the case of a general written authorisation to engage sub-processors the processor must inform the controller of any changes to sub-processors and give the controller the right to object to these changes. As a controller it may therefore, be preferable to impose a requirement that you consent to each sub-processor rather than a general authorisation for classes of sub-processors.
                  </paratext>
                </para>
                <para>
                  <paratext>The UK GDPR also requires the processor to:</paratext>
                </para>
                <list type="bulleted">
                  <list.item>
                    <para>
                      <paratext>
                        Impose the same data protection obligations on a sub-processor as set out in the agreement between the controller and the processor (
                        <ital>Article 28(4), UK GDPR</ital>
                        ).
                      </paratext>
                    </para>
                  </list.item>
                  <list.item>
                    <para>
                      <paratext>
                        Ensure the sub-processor does not process personal data except on the instructions of a controller. (
                        <ital>Article 32(4), UK GDPR</ital>
                        ).
                      </paratext>
                    </para>
                  </list.item>
                  <list.item>
                    <para>
                      <paratext>
                        The initial processor remains fully liable to the controller for the performance of the sub-processor's obligations (
                        <ital>Article 28(4), UK GDPR</ital>
                        ).
                      </paratext>
                    </para>
                  </list.item>
                </list>
                <para>
                  <paratext>
                    For more information, see 
                    <link anchor="a402228" href="w-025-2861" style="ACTLinkPLCtoPLC">
                      <ital>Practice note, Processor obligations under UK GDPR: Restrictions on engaging sub-processors</ital>
                    </link>
                    .
                  </paratext>
                </para>
              </division>
            </drafting.note>
            <subclause1 id="a634623">
              <identifier>8.1</identifier>
              <para>
                <paratext>The Provider may not authorise any third party or subcontractor to process the Personal Data.</paratext>
              </para>
            </subclause1>
            <subclause1 id="a562874">
              <identifier>8.2</identifier>
              <para>
                <paratext>
                  Other than those subcontractors as set out in 
                  <internal.reference refid="a976303">Annex A</internal.reference>
                  , the Provider may not authorise any other third-party or subcontractor to process the Personal Data.
                </paratext>
              </para>
              <para>
                <paratext>
                  <bold>OR</bold>
                </paratext>
              </para>
            </subclause1>
            <subclause1 id="a545857">
              <para>
                <paratext>The Provider may only authorise a third-party (subcontractor) to process the Personal Data if:</paratext>
              </para>
              <subclause2 id="a950008">
                <identifier>(a)</identifier>
                <para>
                  <paratext>the Customer [provides written consent prior to the appointment of each subcontractor] OR [is provided with an opportunity to object to the appointment of each subcontractor within [NUMBER] working days after the Provider supplies the Customer with full details in writing regarding such subcontractor];</paratext>
                </para>
              </subclause2>
              <subclause2 id="a349765">
                <identifier>(b)</identifier>
                <para>
                  <paratext>the Provider enters into a written contract with the subcontractor that contains terms substantially the same as those set out in this Agreement, in particular, in relation to requiring appropriate technical and organisational data security measures, and, upon the Customer's written request, provides the Customer with copies of the relevant excerpts from such contracts;</paratext>
                </para>
              </subclause2>
              <subclause2 id="a593488">
                <identifier>(c)</identifier>
                <para>
                  <paratext>the Provider maintains control over all of the Personal Data it entrusts to the subcontractor; and</paratext>
                </para>
              </subclause2>
              <subclause2 id="a864769">
                <identifier>(d)</identifier>
                <para>
                  <paratext>the subcontractor's contract terminates automatically on termination of this Agreement for any reason.</paratext>
                </para>
              </subclause2>
            </subclause1>
            <subclause1 id="a852168">
              <identifier>8.3</identifier>
              <para>
                <paratext>
                  Those subcontractors approved as at the commencement of this Agreement are as set out in 
                  <internal.reference refid="a976303">Annex A</internal.reference>
                  . The Provider must list all approved subcontractors in Annex A and include any subcontractor's name and location and the contact information for the person responsible for privacy and data protection compliance.
                </paratext>
              </para>
            </subclause1>
            <subclause1 id="a813556">
              <identifier>8.4</identifier>
              <para>
                <paratext>Where the subcontractor fails to fulfil its obligations under the written agreement with the Provider which contains terms substantially the same as those set out in this Agreement, the Provider remains fully liable to the Customer for the subcontractor's performance of its agreement obligations.</paratext>
              </para>
            </subclause1>
            <subclause1 id="a754940">
              <identifier>8.5</identifier>
              <para>
                <paratext>The Parties agree that the Provider will be deemed by them to control legally any Personal Data controlled practically by or in the possession of its subcontractors.</paratext>
              </para>
            </subclause1>
            <subclause1 id="a944219">
              <identifier>8.6</identifier>
              <para>
                <paratext>[On the Customer's written request, the Provider will audit a subcontractor's compliance with its obligations regarding the Personal Data and provide the Customer with the audit results. Where the Customer concludes reasonably that the subcontractor is in material default of its obligations regarding the Personal Data, the Customer may in writing instruct the Provider to instruct the subcontractor to remedy such deficiencies within [NUMBER] days.]</paratext>
              </para>
            </subclause1>
          </clause>
          <clause id="a557619">
            <identifier>9.</identifier>
            <head align="left" preservecase="true">
              <headtext>Complaints, data subject requests and third-party rights</headtext>
            </head>
            <drafting.note id="a526047" jurisdiction="">
              <head align="left" preservecase="true">
                <headtext>Complaints, data subject requests and third-party rights</headtext>
              </head>
              <division id="a000021" level="1">
                <para>
                  <paratext>
                    The 
                    <link href="w-027-1020" style="ACTLinkPLCtoPLC">
                      <ital>UK GDPR</ital>
                    </link>
                     provides data subjects with a number of rights, including, but not limited to, the right to:
                  </paratext>
                </para>
                <list type="bulleted">
                  <list.item>
                    <para>
                      <paratext>
                        Confirm whether the controller processes personal data about the data subject and the right to access the personal data processed and obtain certain information about the processing activities (
                        <ital>Article 15, UK GDPR</ital>
                        ).
                      </paratext>
                    </para>
                  </list.item>
                  <list.item>
                    <para>
                      <paratext>
                        Correct inaccurate personal data (
                        <ital>Article 16, UK GDPR</ital>
                        ).
                      </paratext>
                    </para>
                  </list.item>
                  <list.item>
                    <para>
                      <paratext>
                        Have personal data erased under certain circumstances (
                        <ital>Article 17, UK GDPR</ital>
                        ).
                      </paratext>
                    </para>
                  </list.item>
                </list>
                <para>
                  <paratext>
                    See 
                    <link href="w-019-9092" style="ACTLinkPLCtoPLC">
                      <ital>Handling data subject requests toolkit (UK)</ital>
                    </link>
                    .
                  </paratext>
                </para>
                <division id="a380852" level="2">
                  <head align="left" preservecase="true">
                    <headtext>Complaints</headtext>
                  </head>
                  <para>
                    <paratext>The data processing agreement requires the service provider to refer all personal data complaints or communications it receives from any regulator (including the Commissioner) or any third-party to the customer. Customers cannot meet their obligations unless the service provider makes them aware of those complaints and communications.</paratext>
                  </para>
                </division>
                <division id="a403461" level="2">
                  <head align="left" preservecase="true">
                    <headtext>Data subject requests</headtext>
                  </head>
                  <para>
                    <paratext>The data processing agreement requires the service provider to notify the customer of any requests it receives from data subjects to exercise any of their data protection rights, within a set time, so that the customer can review and process them appropriately.</paratext>
                  </para>
                </division>
                <division id="a862257" level="2">
                  <head align="left" preservecase="true">
                    <headtext>Provider assistance and response obligations</headtext>
                  </head>
                  <para>
                    <paratext>
                      The 
                      <link href="w-027-1020" style="ACTLinkPLCtoPLC">
                        <ital>UK GDPR</ital>
                      </link>
                       requires that data processing contracts oblige the processor to implement measures to assist the controller in complying with data subjects' rights (
                      <ital>Article 28(3)(e), UK GDPR</ital>
                      ).
                    </paratext>
                  </para>
                  <para>
                    <paratext>However, service providers should only act on the customer's instructions and should not have authority to act on their own initiative. Only the customer, or the service provider acting on the customer's instructions, should respond to complaints or data subject requests to exercise their rights, and the service provider must not disclose any personal data without the customer's written approval.</paratext>
                  </para>
                </division>
              </division>
            </drafting.note>
            <subclause1 id="a327633">
              <identifier>9.1</identifier>
              <para>
                <paratext>The Provider must, at no additional cost to the Customer, take such technical and organisational measures as may be appropriate, and promptly provide such information to the Customer as the Customer may reasonably require, to enable the Customer to comply with:</paratext>
              </para>
              <subclause2 id="a257198">
                <identifier>(a)</identifier>
                <para>
                  <paratext>the rights of Data Subjects under the Data Protection Legislation, including, but not limited to, subject access rights, the rights to rectify, port and erase personal data, object to the processing and automated processing of personal data, and restrict the processing of personal data; and</paratext>
                </para>
              </subclause2>
              <subclause2 id="a577431">
                <identifier>(b)</identifier>
                <para>
                  <paratext>information or assessment notices served on the Customer by the Commissioner [or other relevant regulator] under the Data Protection Legislation.</paratext>
                </para>
              </subclause2>
            </subclause1>
            <subclause1 id="a351224">
              <identifier>9.2</identifier>
              <para>
                <paratext>The Provider must notify the Customer immediately in writing if it receives any complaint, notice or communication that relates directly or indirectly to the processing of the Personal Data or to either party's compliance with the Data Protection Legislation.</paratext>
              </para>
            </subclause1>
            <subclause1 id="a112635">
              <identifier>9.3</identifier>
              <para>
                <paratext>The Provider must notify the Customer within [NUMBER] days if it receives a request from a Data Subject for access to their Personal Data or to exercise any of their other rights under the Data Protection Legislation.</paratext>
              </para>
            </subclause1>
            <subclause1 id="a466270">
              <identifier>9.4</identifier>
              <para>
                <paratext>The Provider will give the Customer, at no additional cost to the Customer, its full co-operation and assistance in responding to any complaint, notice, communication or Data Subject request.</paratext>
              </para>
            </subclause1>
            <subclause1 id="a693192">
              <identifier>9.5</identifier>
              <para>
                <paratext>The Provider must not disclose the Personal Data to any Data Subject or to a third-party other than in accordance with the Customer's written instructions, or as required by domestic [or EU] law.</paratext>
              </para>
            </subclause1>
          </clause>
          <clause id="a966122">
            <identifier>10.</identifier>
            <head align="left" preservecase="true">
              <headtext>Term and termination</headtext>
            </head>
            <drafting.note id="a300632" jurisdiction="">
              <head align="left" preservecase="true">
                <headtext>Term and termination</headtext>
              </head>
              <division id="a000022" level="1">
                <division id="a122571" level="2">
                  <head align="left" preservecase="true">
                    <headtext>Term</headtext>
                  </head>
                  <para>
                    <paratext>Consistent with the data processing agreement's focus on personal data protection, this clause potentially extends the agreement's term to:</paratext>
                  </para>
                  <list type="bulleted">
                    <list.item>
                      <para>
                        <paratext>The term of the underlying master agreement.</paratext>
                      </para>
                    </list.item>
                    <list.item>
                      <para>
                        <paratext>The period the service provider may continue to be in possession of personal data received under the master agreement following its termination.</paratext>
                      </para>
                    </list.item>
                  </list>
                  <para>
                    <paratext>This ensures that the protection under the data processing agreement remains in place until the service provider no longer uses, retains, accesses or otherwise processes the customer's personal data. This clause also contains a standard survival clause indicating that the agreement's clauses required to protect personal data remain in effect or continue after termination.</paratext>
                  </para>
                </division>
                <division id="a600818" level="2">
                  <head align="left" preservecase="true">
                    <headtext>Termination</headtext>
                  </head>
                  <para>
                    <paratext>This clause gives customers the ability to terminate the master agreement if the service provider does not comply with the terms of the data processing agreement. The clause contains optional language limiting the termination to the service provider's personal data processing activities should the underlying agreement relate to a broader set of services (and the master agreement may contain wider termination provisions).</paratext>
                  </para>
                  <para>
                    <paratext>Data protection laws and requirements may change over time. When changes occur, the parties must adjust their practices to comply with new or different requirements. However, if the parties cannot make the required adjustments within a reasonable time, this clause allows them to suspend or terminate the data processing activities. Specifying a maximum time-period for compliance before allowing termination is recommended.</paratext>
                  </para>
                </division>
              </division>
            </drafting.note>
            <subclause1 id="a843723">
              <identifier>10.1</identifier>
              <para>
                <paratext>This Agreement will remain in full force and effect so long as:</paratext>
              </para>
              <subclause2 id="a718991">
                <identifier>(a)</identifier>
                <para>
                  <paratext>the Master Agreement remains in effect; or</paratext>
                </para>
              </subclause2>
              <subclause2 id="a929751">
                <identifier>(b)</identifier>
                <para>
                  <paratext>
                    the Provider retains any of the Personal Data related to the Master Agreement in its possession or control (
                    <defn.term>Term</defn.term>
                    ).
                  </paratext>
                </para>
              </subclause2>
            </subclause1>
            <subclause1 id="a990082">
              <identifier>10.2</identifier>
              <para>
                <paratext>Any provision of this Agreement that expressly or by implication should come into or continue in force on or after termination of the Master Agreement in order to protect the Personal Data will remain in full force and effect.</paratext>
              </para>
            </subclause1>
            <subclause1 id="a935672">
              <identifier>10.3</identifier>
              <para>
                <paratext>
                  The Provider's failure to comply with the terms of this Agreement is a material breach of the Master Agreement. In such event, the Customer may terminate [the Master Agreement 
                  <bold>OR</bold>
                   any part of the Master Agreement involving the processing of the Personal Data] effective immediately on written notice to the Provider without further liability or obligation of the Customer.
                </paratext>
              </para>
            </subclause1>
            <subclause1 id="a551095">
              <identifier>10.4</identifier>
              <para>
                <paratext>If a change in any Data Protection Legislation prevents either party from fulfilling all or part of its Master Agreement obligations, the parties may agree to suspend the processing of the Personal Data until that processing complies with the new requirements. If the parties are unable to bring the Personal Data processing into compliance with the Data Protection Legislation [within [NUMBER] days], either party may terminate the Master Agreement [on not less than [NUMBER] working days OR with immediate effect] on written notice to the other party.</paratext>
              </para>
            </subclause1>
          </clause>
          <clause id="a720982">
            <identifier>11.</identifier>
            <head align="left" preservecase="true">
              <headtext>Data return and destruction</headtext>
            </head>
            <drafting.note id="a825618" jurisdiction="">
              <head align="left" preservecase="true">
                <headtext>Data return and destruction</headtext>
              </head>
              <division id="a000023" level="1">
                <para>
                  <paratext>Under this clause, the service provider must provide the customer with a copy of the personal data processed under the agreement, upon request. The copy must be in a format and on media reasonably specified by the customer. In practice, this allows the customer to verify the accuracy of the data periodically. It also allows the customer to comply with data portability or data access requirements.</paratext>
                </para>
                <para>
                  <paratext>If the agreement terminates, this also enables the customer to retain control of the personal data transferred to the service provider. This is particularly important when the customer wants to move to a competing service provider.</paratext>
                </para>
                <para>
                  <paratext>
                    The 
                    <link href="w-027-1020" style="ACTLinkPLCtoPLC">
                      <ital>UK GDPR</ital>
                    </link>
                     requires that data processing contracts obligate the processor to, at the controller's election, either return or destroy the personal data at the end of the relationship, unless UK law requires a longer retention period (
                    <ital>Article 28 (3)(g), UK GDPR</ital>
                    ). This helps reduce the risk of unauthorised personal data use or disclosure after the agreement ends.
                  </paratext>
                </para>
                <para>
                  <paratext>The service provider may need to retain some personal data for recordkeeping and legal compliance obligations or because electronic or offsite back-up or archiving systems contain copies of the data. The customer should carefully consider whether these exceptions are appropriate for the transaction and clearly identify both the exceptions and the expected date when the service provider will completely delete or destroy the personal data. Any exceptions should also prevent the service provider from using the personal data for any other purpose and require continued adherence to the relevant provisions of this data processing agreement.</paratext>
                </para>
              </division>
            </drafting.note>
            <subclause1 id="a318224">
              <identifier>11.1</identifier>
              <para>
                <paratext>At the Customer's request, the Provider will give the Customer, or a third-party nominated in writing by the Customer, a copy of or access to all or part of the Personal Data in its possession or control in the format and on the media reasonably specified by the Customer.</paratext>
              </para>
            </subclause1>
            <subclause1 id="a675601">
              <identifier>11.2</identifier>
              <para>
                <paratext>On termination of the Master Agreement for any reason or expiry of its term, the Provider will securely delete or destroy or, if directed in writing by the Customer, return and not retain, all or any of the Personal Data related to this Agreement in its possession or control, [except for one copy that it may retain and use for [TIME PERIOD] for [PURPOSES] only.</paratext>
              </para>
            </subclause1>
            <subclause1 id="a981655">
              <identifier>11.3</identifier>
              <para>
                <paratext>If any law, regulation, or government or regulatory body requires the Provider to retain any documents, materials or Personal Data that the Provider would otherwise be required to return or destroy, it will notify the Customer in writing of that retention requirement, giving details of the documents, materials or Personal Data that it must retain, the legal basis for such retention, and establishing a specific timeline for deletion or destruction once the retention requirement ends.</paratext>
              </para>
            </subclause1>
            <subclause1 id="a961603">
              <identifier>11.4</identifier>
              <para>
                <paratext>The Provider will certify in writing to the Customer that it has deleted or destroyed the Personal Data within [NUMBER] days after it completes the deletion or destruction.</paratext>
              </para>
            </subclause1>
          </clause>
          <clause id="a773333">
            <identifier>12.</identifier>
            <head align="left" preservecase="true">
              <headtext>Records</headtext>
            </head>
            <drafting.note id="a416533" jurisdiction="">
              <head align="left" preservecase="true">
                <headtext>Records</headtext>
              </head>
              <division id="a000024" level="1">
                <para>
                  <paratext>
                    Article 28(3)(h) of the 
                    <link href="w-027-1020" style="ACTLinkPLCtoPLC">
                      <ital>UK GDPR</ital>
                    </link>
                     requires the processor to make "available to the controller all information necessary to demonstrate compliance with the obligations".
                  </paratext>
                </para>
                <para>
                  <paratext>Article 30(2) requires the processor to keep the following records, which must be available to the controller and the supervisory authority:</paratext>
                </para>
                <list type="bulleted">
                  <list.item>
                    <para>
                      <paratext>The name and contact details of the processor or processors and of each controller on behalf of which the processor is acting, and, where applicable, of the controller's or the processor's representative, and the data protection officer.</paratext>
                    </para>
                  </list.item>
                  <list.item>
                    <para>
                      <paratext>The categories of processing carried out on behalf of each controller.</paratext>
                    </para>
                  </list.item>
                  <list.item>
                    <para>
                      <paratext>Where possible, a description of the technical and organisational security measures referred to in Article 32(1).</paratext>
                    </para>
                  </list.item>
                </list>
                <para>
                  <paratext>According to Article 30(5), this requirement applies if the processor has more than 250 employees or, if fewer, the processing it carries out is likely to result in a risk to the rights and freedoms of data subjects, the processing is not occasional, or the processing includes special categories of data as per Article 9(1) or personal data relating to criminal convictions and offences as per Article 10.</paratext>
                </para>
                <para>
                  <paratext>
                    The UK GDPR requires that these records be in writing which includes electronic form, and that the processor makes the records available to the Commissioner on request (
                    <ital>Articles 30(3) </ital>
                    and
                    <ital> 30(4), UK GDPR</ital>
                    ).
                  </paratext>
                </para>
                <para>
                  <paratext>The record keeping requirement reflects the UK GDPR's aim to make controllers and processors accountable for complying with their UK GDPR obligations by providing an audit trail to enable the customer to check compliance with both the UK GDPR and the terms of the data processing agreement. Customers should adapt this clause to ensure their service providers can give them all the records or information required to support their compliance obligations.</paratext>
                </para>
                <para>
                  <paratext>
                    For further information see 
                    <link anchor="a870082" href="w-025-2861" style="ACTLinkPLCtoPLC">
                      <ital>Practice note, Processor obligations under UK GDPR: Records of processing activities</ital>
                    </link>
                    .
                  </paratext>
                </para>
              </division>
            </drafting.note>
            <subclause1 id="a761301">
              <identifier>12.1</identifier>
              <para>
                <paratext>
                  The Provider will keep detailed, accurate and up-to-date written records regarding any processing of the Personal Data, including but not limited to, the access, control and security of the Personal Data, [approved subcontractors], the processing purposes, categories of processing, and a general description of the technical and organisational security measures referred to in 
                  <internal.reference refid="a944762">Clause 5.1</internal.reference>
                   (
                  <defn.term>Records</defn.term>
                  ).
                </paratext>
              </para>
            </subclause1>
            <subclause1 id="a470137">
              <identifier>12.2</identifier>
              <para>
                <paratext>The Provider will ensure that the Records are sufficient to enable the Customer to verify the Provider's compliance with its obligations under this Agreement and the Data Protection Legislation and the Provider will provide the Customer with copies of the Records upon request.</paratext>
              </para>
            </subclause1>
            <subclause1 id="a350074">
              <identifier>12.3</identifier>
              <para>
                <paratext>
                  The Customer and the Provider must review the information listed in the Annexes to this Agreement [at least once a year 
                  <bold>OR</bold>
                   [FREQUENCY]] to confirm its current accuracy and update it when required to reflect current practices.
                </paratext>
              </para>
            </subclause1>
          </clause>
          <clause id="a223407">
            <identifier>13.</identifier>
            <head align="left" preservecase="true">
              <headtext>Audit</headtext>
            </head>
            <drafting.note id="a760492" jurisdiction="">
              <head align="left" preservecase="true">
                <headtext>Audit</headtext>
              </head>
              <division id="a000025" level="1">
                <para>
                  <paratext>
                    Article 28(3)(h) of the 
                    <link href="w-027-1020" style="ACTLinkPLCtoPLC">
                      <ital>UK GDPR</ital>
                    </link>
                     requires the processor to "allow for and contribute to audits, including inspections, conducted by the controller or another auditor mandated by the controller."
                  </paratext>
                </para>
                <para>
                  <paratext>Policing personal data processing agreement compliance is not easy. Proper audits often require access to the service provider's premises, computer equipment and networks. If the agreement involves highly sensitive or confidential personal data, customers may also want remote access to the service provider's systems. However, audits can disrupt the service provider's business operations and audit requests from multiple customers seeking the same information or wanting to perform the same security tests can unnecessarily increase the service provider's costs and therefore the overall cost of the services. Customers and service providers often disagree over the appropriate audit provision scope.</paratext>
                </para>
                <para>
                  <paratext>
                    This section provides two different audit clause options. The first audit alternative (
                    <internal.reference refid="a199236">clause 13.1</internal.reference>
                     to 
                    <internal.reference refid="a743387">clause 13.3</internal.reference>
                    ) presents a neutral position, providing the customer with a right to audit the service provider's compliance and requiring the service provider to assist with the review, as needed. Where security is a particularly high priority, there is the optional 
                    <internal.reference refid="a355804">clause 13.4</internal.reference>
                     that requires the service provider to conduct an information security audit before it processes any personal data and at regular intervals thereafter.
                  </paratext>
                </para>
                <para>
                  <paratext>
                    The second audit alternative (
                    <internal.reference refid="a809137">clause 13.5</internal.reference>
                     to 
                    <internal.reference refid="a643207">clause 13.7</internal.reference>
                    ) is appropriate for service providers who perform their own compliance audits to accounting or industry standards, such as Statement on Standards for Attestation Engagements 16, and provides for a more limited audit obligation. Parties adopting this approach may consider adding the optional clause designating third party audit reports as the service provider's confidential information, if permitted by local law. However, the parties should first review the master service agreement to ensure it defines the term "confidential information". This alternative can still be in compliance with
                    <ital> </ital>
                    Article 28 (3)(h) because the controller is effectively mandating the appointment of the specified auditor (albeit in a general manner). The controller would need to be comfortable with this but, for example, it could mandate a recognised audit specialist and this may be the best approach where the negotiating or practical position is not such that the processor will agree to the controller auditing itself (which may be for a variety of reasons such as confidentiality, practicality etc.).
                  </paratext>
                </para>
                <para>
                  <paratext>Or, the controller could choose to recognise the validity of an ISO 27001 audit or PCI compliance, for instance conducted by a third party auditor on behalf of the processor as demonstrating that the requirements under Article 28 (3)(h) had been met by the processor. In practice, many processors especially larger processors such as Google Cloud will issue information security notices about their third party certifications for ISO 27001 and ISO 27017 (Cloud Security) as it would not be feasible for them to submit to individual controller audit or inspection.</paratext>
                </para>
                <para>
                  <paratext>
                    This is supported by the ICO's guidance on 
                    <link href="https://ico.org.uk/for-organisations/guide-to-data-protection/guide-to-the-general-data-protection-regulation-gdpr/contracts-and-liabilities-between-controllers-and-processors-multi/what-needs-to-be-included-in-the-contract/" style="ACTLinkURL">
                      <ital>Contracts and liabilities between controllers and processors’</ital>
                    </link>
                     on 
                    <link anchor="10" href="https://ico.org.uk/for-organisations/guide-to-data-protection/guide-to-the-general-data-protection-regulation-gdpr/contracts-and-liabilities-between-controllers-and-processors-multi/what-needs-to-be-included-in-the-contract/" style="ACTLinkURL">
                      <ital>audits and inspections</ital>
                    </link>
                    , which states:
                  </paratext>
                </para>
                <para>
                  <paratext>
                    <ital>"Under Article 28(3)(h) the contract must require:</ital>
                  </paratext>
                </para>
                <para>
                  <paratext>
                    <ital>the processor to provide the controller with all the information that is needed to show that the obligations of Article 28 have been met; and</ital>
                  </paratext>
                </para>
                <para>
                  <paratext>
                    <ital>the processor to allow for, and contribute to, audits and inspections carried out by the controller, or by an auditor appointed by the controller.</ital>
                  </paratext>
                </para>
                <para>
                  <paratext>
                    <ital>This provision obliges the processor to be able to demonstrate compliance with the whole of Article 28 to the controller. For instance, the processor could do this by giving the controller the necessary information or by submitting to an audit or inspection."</ital>
                  </paratext>
                </para>
                <para>
                  <paratext>
                    Audit clauses typically give service providers reasonable notice before audits occur. However, audit clauses often waive this notice requirement if the customer reasonably suspects a security incident has occurred or that the service provider breached its personal data processing obligations. Protecting the personal data is paramount in such cases, and the customer should receive quick access to collect and secure evidence of the breach and prevent further personal data loss or misuse. Therefore, a customer may also wish to include 
                    <internal.reference refid="a743387">clause 13.3</internal.reference>
                     in the second alternative.
                  </paratext>
                </para>
                <para>
                  <paratext>
                    For more information see 
                    <link href="w-026-0476" style="ACTLinkPLCtoPLC">
                      <ital>Checklist, Data protection supplier audit (UK)</ital>
                    </link>
                    .
                  </paratext>
                </para>
              </division>
            </drafting.note>
            <subclause1 id="a199236">
              <identifier>13.1</identifier>
              <para>
                <paratext>[The Provider will permit the Customer and its third-party representatives to audit the Provider's compliance with its Agreement obligations, on at least [NUMBER] days' notice, during the Term. The Provider will give the Customer and its third-party representatives all necessary assistance to conduct such audits at no additional cost to the Customer. The assistance may include, but is not limited to:</paratext>
              </para>
              <subclause2 id="a555622">
                <identifier>(a)</identifier>
                <para>
                  <paratext>physical access to, remote electronic access to, and copies of the Records and any other information held at the Provider's premises or on systems storing the Personal Data;</paratext>
                </para>
              </subclause2>
              <subclause2 id="a857694">
                <identifier>(b)</identifier>
                <para>
                  <paratext>access to and meetings with any of the Provider's personnel reasonably necessary to provide all explanations and perform the audit effectively; and</paratext>
                </para>
              </subclause2>
              <subclause2 id="a607735">
                <identifier>(c)</identifier>
                <para>
                  <paratext>inspection of all Records and the infrastructure, electronic data or systems, facilities, equipment or application software used to process the Personal Data.</paratext>
                </para>
              </subclause2>
            </subclause1>
            <subclause1 id="a929104">
              <identifier>13.2</identifier>
              <para>
                <paratext>
                  The notice requirements in 
                  <internal.reference refid="a199236">Clause 13.1</internal.reference>
                   will not apply if the Customer reasonably believes that a Personal Data Breach has occurred or is occurring, or the Provider is in material breach of any of its obligations under this Agreement or any of the Data Protection Legislation.
                </paratext>
              </para>
            </subclause1>
            <subclause1 id="a743387">
              <identifier>13.3</identifier>
              <para>
                <paratext>If a Personal Data Breach occurs or is occurring, or the Provider becomes aware of a breach of any of its obligations under this Agreement or any of the Data Protection Legislation, the Provider will:</paratext>
              </para>
              <subclause2 id="a312261">
                <identifier>(a)</identifier>
                <para>
                  <paratext>
                    [promptly 
                    <bold>OR</bold>
                     within [NUMBER] days of the triggering event], conduct its own audit to determine the cause;
                  </paratext>
                </para>
              </subclause2>
              <subclause2 id="a253735">
                <identifier>(b)</identifier>
                <para>
                  <paratext>produce a written report that includes detailed plans to remedy any deficiencies identified by the audit;</paratext>
                </para>
              </subclause2>
              <subclause2 id="a711841">
                <identifier>(c)</identifier>
                <para>
                  <paratext>provide the Customer with a copy of the written audit report; and</paratext>
                </para>
              </subclause2>
              <subclause2 id="a878996">
                <identifier>(d)</identifier>
                <para>
                  <paratext>remedy any deficiencies identified by the audit within [NUMBER] days.]</paratext>
                </para>
              </subclause2>
            </subclause1>
            <subclause1 id="a355804">
              <identifier>13.4</identifier>
              <para>
                <paratext>[At the Customer's written request, the Provider will:</paratext>
              </para>
              <subclause2 id="a525228">
                <identifier>(a)</identifier>
                <para>
                  <paratext>
                    conduct an information security audit before it first begins processing any of the Personal Data and repeat that audit on at least an [annual 
                    <bold>OR</bold>
                     [FREQUENCY]] basis;
                  </paratext>
                </para>
              </subclause2>
              <subclause2 id="a603461">
                <identifier>(b)</identifier>
                <para>
                  <paratext>produce a written report that includes detailed plans to remedy any security deficiencies identified by the audit;</paratext>
                </para>
              </subclause2>
              <subclause2 id="a356752">
                <identifier>(c)</identifier>
                <para>
                  <paratext>provide the Customer with a copy of the written audit report; and</paratext>
                </para>
              </subclause2>
              <subclause2 id="a450986">
                <identifier>(d)</identifier>
                <para>
                  <paratext>remedy any deficiencies identified by the audit within [DAYS] days.]</paratext>
                </para>
              </subclause2>
              <para>
                <paratext>
                  <bold>OR</bold>
                </paratext>
              </para>
            </subclause1>
            <subclause1 id="a809137">
              <identifier>13.5</identifier>
              <para>
                <paratext>[At least [FREQUENCY] a year, the Provider will conduct site audits of its Personal Data processing practices and the information technology and information security controls for all facilities and systems used in complying with its obligations under this Agreement, including, but not limited to, obtaining a network-level vulnerability assessment performed by a recognised third-party audit firm based on recognised industry best practices.</paratext>
              </para>
            </subclause1>
            <subclause1 id="a698119">
              <identifier>13.6</identifier>
              <para>
                <paratext>On the Customer's written request, the Provider will make all of the relevant audit reports available to the Customer for review, including as applicable: [The Provider's latest Payment Card Industry (PCI) Compliance Report,] [WebTrust,] [Systrust,] [Statement on Standards for Attestation Engagements No. 16 audit reports for Reporting on Controls at a Service Organisation, ][reports relating to its ISO/IEC 27001 certification][ and [OTHER AUDIT REPORTS]]. [The Customer will treat such audit reports as the Provider's confidential information under the Master Agreement.]</paratext>
              </para>
            </subclause1>
            <subclause1 id="a643207">
              <identifier>13.7</identifier>
              <para>
                <paratext>The Provider will promptly address any exceptions noted in the audit reports with the development and implementation of a corrective action plan by the Provider's management.]</paratext>
              </para>
            </subclause1>
          </clause>
          <clause id="a575944">
            <identifier>14.</identifier>
            <head align="left" preservecase="true">
              <headtext>Warranties</headtext>
            </head>
            <drafting.note id="a164108" jurisdiction="">
              <head align="left" preservecase="true">
                <headtext>Warranties</headtext>
              </head>
              <division id="a000026" level="1">
                <para>
                  <paratext>This clause contains warranties related to the parties' personal data processing.</paratext>
                </para>
                <para>
                  <paratext>
                    The service provider warrants that it will comply with all applicable data protection legislation including the 
                    <link href="w-027-1020" style="ACTLinkPLCtoPLC">
                      <ital>UK GDPR</ital>
                    </link>
                     and 
                    <link href="w-014-9417" style="ACTLinkPLCtoPLC">
                      <ital>DPA 2018</ital>
                    </link>
                     when processing personal data on behalf of the customer. The service provider also warrants that it will implement appropriate data security measures to protect the personal data, both generally to meet any applicable legal requirements and specifically to meet any applicable security policy. Service providers often adopt detailed security policies, information protection plans or industry specific security standards designed to meet their business needs and comply with legal obligations. The agreement should require compliance with those policies. If the parties agree on specific technological or organisational measures that the service provider must put in place, they should list those security measures in an annex to the agreement.
                  </paratext>
                </para>
                <para>
                  <paratext>The customer, as the owner or controller of the data, only warrants that its data processing instructions and procurement of the contracted services complies with all applicable data protection legislation.</paratext>
                </para>
              </division>
            </drafting.note>
            <subclause1 id="a327114">
              <identifier>14.1</identifier>
              <para>
                <paratext>The Provider warrants and represents that:</paratext>
              </para>
              <subclause2 id="a263367">
                <identifier>(a)</identifier>
                <para>
                  <paratext>its employees, [subcontractors,] agents and any other person or persons accessing the Personal Data on its behalf are reliable and trustworthy and have received the required training on the Data Protection Legislation;</paratext>
                </para>
              </subclause2>
              <subclause2 id="a816428">
                <identifier>(b)</identifier>
                <para>
                  <paratext>it and anyone operating on its behalf will process the Personal Data in compliance with the Data Protection Legislation and other laws, enactments, regulations, orders, standards and other similar instruments;</paratext>
                </para>
              </subclause2>
              <subclause2 id="a858535">
                <identifier>(c)</identifier>
                <para>
                  <paratext>it has no reason to believe that the Data Protection Legislation prevents it from providing any of the Master Agreement's contracted services; and</paratext>
                </para>
              </subclause2>
              <subclause2 id="a722361">
                <identifier>(d)</identifier>
                <para>
                  <paratext>considering the current technology environment and implementation costs, it will take appropriate technical and organisational measures to prevent the accidental, unauthorised or unlawful processing of Personal Data and the loss or damage to, the Personal Data, and ensure a level of security appropriate to:</paratext>
                </para>
                <subclause3 id="a628275">
                  <identifier>(i)</identifier>
                  <para>
                    <paratext>the harm that might result from such accidental, unauthorised or unlawful processing and loss or damage;</paratext>
                  </para>
                </subclause3>
                <subclause3 id="a523624">
                  <identifier>(ii)</identifier>
                  <para>
                    <paratext>the nature of the Personal Data protected; and</paratext>
                  </para>
                </subclause3>
                <subclause3 id="a180953">
                  <identifier>(iii)</identifier>
                  <para>
                    <paratext>
                      comply with all applicable Data Protection Legislation and its information and security policies, including the security measures required in 
                      <internal.reference refid="a944762">Clause 5.1</internal.reference>
                      .
                    </paratext>
                  </para>
                </subclause3>
              </subclause2>
            </subclause1>
            <subclause1 id="a899174">
              <identifier>14.2</identifier>
              <para>
                <paratext>The Customer warrants and represents that the Provider's expected use of the Personal Data for the Business Purposes and as specifically instructed by the Customer will comply with the Data Protection Legislation.</paratext>
              </para>
            </subclause1>
          </clause>
          <clause id="a711891">
            <identifier>15.</identifier>
            <head align="left" preservecase="true">
              <headtext>Indemnification</headtext>
            </head>
            <drafting.note id="a517451" jurisdiction="">
              <head align="left" preservecase="true">
                <headtext>Indemnification</headtext>
              </head>
              <division id="a000027" level="1">
                <para>
                  <paratext>
                    Article 82(2) and 82(3) of the 
                    <link href="w-027-1020" style="ACTLinkPLCtoPLC">
                      <ital>UK GDPR</ital>
                    </link>
                     provide that a processor will only be liable for damage caused by the processing where either it:
                  </paratext>
                </para>
                <list type="bulleted">
                  <list.item>
                    <para>
                      <paratext>Acted contrary to the controller's instructions.</paratext>
                    </para>
                  </list.item>
                  <list.item>
                    <para>
                      <paratext>Is responsible for the event giving rise to the damage.</paratext>
                    </para>
                  </list.item>
                </list>
                <para>
                  <paratext>In other circumstances Article 82(2) provides that "any controller involved in processing shall be liable for the damage caused by processing" which infringes the UK GDPR. Customers should therefore protect their position by requiring service providers to indemnify them against all costs, claims, damages and expenses incurred because of their actions.</paratext>
                </para>
                <para>
                  <paratext>
                    If the underlying services agreement contains a limitation of liability clause, the customer should consider excluding this indemnification from that clause's scope given the potential fines under the UK GDPR (
                    <ital>Article 83, UK GDPR</ital>
                    ).
                  </paratext>
                </para>
                <para>
                  <paratext>Ideally, customers should also require their service providers to purchase insurance sufficient to cover any potential claims.</paratext>
                </para>
              </division>
            </drafting.note>
            <subclause1 id="a834230">
              <identifier>15.1</identifier>
              <para>
                <paratext>The Provider agrees to indemnify, keep indemnified and defend at its own expense the Customer against all costs, claims, damages or expenses incurred by the Customer or for which the Customer may become liable due to any failure by the Provider or its employees, subcontractors or agents to comply with any of its obligations under this Agreement and/or the Data Protection Legislation.</paratext>
              </para>
            </subclause1>
            <subclause1 id="a558416">
              <identifier>15.2</identifier>
              <para>
                <paratext>Any limitation of liability set forth in the Master Agreement will not apply to this Agreement's indemnity or reimbursement obligations.</paratext>
              </para>
            </subclause1>
          </clause>
          <clause id="a260477">
            <identifier>16.</identifier>
            <head align="left" preservecase="true">
              <headtext>Notice</headtext>
            </head>
            <drafting.note id="a834928" jurisdiction="">
              <head align="left" preservecase="true">
                <headtext>Notice</headtext>
              </head>
              <division id="a000028" level="1">
                <para>
                  <paratext>
                    Many organisations designate specific individuals, such as 
                    <link href="w-014-8177" style="ACTLinkPLCtoPLC">
                      <ital>data protection officers</ital>
                    </link>
                     (DPOs), to handle all privacy and data security complaints or related matters. The parties may therefore want to direct any notices under the data processing agreement to their designated DPO instead of any notice contact listed in the master service agreement. However, this agreement's notice designation should not apply to legal actions or proceedings.
                  </paratext>
                </para>
                <para>
                  <paratext>To avoid amending the agreement each time the person responsible for data protection or privacy matters changes, organisations should consider establishing a static contact method or email address to receive notices or reference the contact designated in their online privacy notice.</paratext>
                </para>
                <para>
                  <paratext>Parties that do not want to receive email notices should specifically state that requirement.</paratext>
                </para>
              </division>
            </drafting.note>
            <subclause1 id="a392149">
              <identifier>16.1</identifier>
              <para>
                <paratext>Any notice [or other communication] given to a party under or in connection with this Agreement must be in writing and delivered to:</paratext>
              </para>
              <para>
                <paratext>For the Customer: [CUSTOMER DATA PRIVACY CONTACT]</paratext>
              </para>
              <para>
                <paratext>For the Provider: [PROVIDER DATA PRIVACY CONTACT]</paratext>
              </para>
            </subclause1>
            <subclause1 id="a994986">
              <identifier>16.2</identifier>
              <para>
                <paratext>
                  <internal.reference refid="a392149">Clause 16.1</internal.reference>
                   does not apply to the service of any proceedings or other documents in any legal action or, where applicable, any arbitration or other method of dispute resolution.
                </paratext>
              </para>
            </subclause1>
            <subclause1 id="a840790">
              <identifier>16.3</identifier>
              <para>
                <paratext>[A notice given under this Agreement is not valid if sent by email].</paratext>
              </para>
            </subclause1>
          </clause>
        </operative>
        <testimonium default="false" wording="contract">
          <para>
            <paratext>This Agreement has been entered into on the date stated at the beginning of it.</paratext>
          </para>
        </testimonium>
        <signature default="true" pagebreak="true" signaturemessage="no">
          <para>
            <paratext>
              <table frame="none" pgwide="1">
                <tgroup cols="3">
                  <colspec colname="1" colnum="1" colwidth="64"/>
                  <colspec colname="2" colnum="2" colwidth="3"/>
                  <colspec colname="3" colnum="3" colwidth="31"/>
                  <tbody>
                    <row>
                      <entry valign="top">
                        <para align="left">
                          <paratext>Signed by [NAME OF DIRECTOR]</paratext>
                        </para>
                      </entry>
                      <entry valign="top">
                        <para>
                          <paratext space="default"> </paratext>
                        </para>
                      </entry>
                      <entry valign="top">
                        <para>
                          <paratext space="default"> </paratext>
                        </para>
                      </entry>
                    </row>
                    <row>
                      <entry valign="top">
                        <para align="left">
                          <paratext>
                            for and on behalf of [NAME OF 
                            <bold>Customer</bold>
                            ]
                          </paratext>
                        </para>
                      </entry>
                      <entry valign="top">
                        <para>
                          <paratext space="default"> </paratext>
                        </para>
                      </entry>
                      <entry valign="top">
                        <para align="left">
                          <paratext>Director</paratext>
                        </para>
                      </entry>
                    </row>
                  </tbody>
                </tgroup>
              </table>
              <table frame="none" pgwide="1">
                <tgroup cols="3">
                  <colspec colname="1" colnum="1" colwidth="64"/>
                  <colspec colname="2" colnum="2" colwidth="3"/>
                  <colspec colname="3" colnum="3" colwidth="31"/>
                  <tbody>
                    <row>
                      <entry valign="top">
                        <para align="left">
                          <paratext>Signed by [NAME OF DIRECTOR]</paratext>
                        </para>
                      </entry>
                      <entry valign="top">
                        <para>
                          <paratext space="default"> </paratext>
                        </para>
                      </entry>
                      <entry valign="top">
                        <para>
                          <paratext space="default"> </paratext>
                        </para>
                      </entry>
                    </row>
                    <row>
                      <entry valign="top">
                        <para align="left">
                          <paratext>
                            for and on behalf of [NAME OF 
                            <bold>Provider</bold>
                            ]
                          </paratext>
                        </para>
                      </entry>
                      <entry valign="top">
                        <para>
                          <paratext space="default"> </paratext>
                        </para>
                      </entry>
                      <entry valign="top">
                        <para align="left">
                          <paratext>Director</paratext>
                        </para>
                      </entry>
                    </row>
                  </tbody>
                </tgroup>
              </table>
            </paratext>
          </para>
        </signature>
        <appendix id="a976303">
          <identifier>ANNEX A</identifier>
          <head align="left" preservecase="true">
            <headtext>Personal Data processing purposes and details</headtext>
          </head>
          <para>
            <paratext>Subject matter of processing:</paratext>
          </para>
          <para>
            <paratext>Duration of Processing:</paratext>
          </para>
          <para>
            <paratext>Nature of Processing:</paratext>
          </para>
          <para>
            <paratext>Business Purposes:</paratext>
          </para>
          <para>
            <paratext>Personal Data Categories:</paratext>
          </para>
          <para>
            <paratext>Data Subject Types:</paratext>
          </para>
          <para>
            <paratext>Authorised Persons:</paratext>
          </para>
          <para>
            <paratext>
              <bold>Approved Subcontractors</bold>
              :
            </paratext>
          </para>
          <list type="bulleted">
            <list.item>
              <para>
                <paratext>[List all approved subcontractors.]</paratext>
              </para>
            </list.item>
          </list>
        </appendix>
        <appendix id="a981375">
          <identifier>ANNEX B</identifier>
          <head align="left" preservecase="true">
            <headtext>Security measures</headtext>
          </head>
          <para>
            <paratext>Supplier to insert description of its technical and organisational data security measures such as:</paratext>
          </para>
          <list type="bulleted">
            <list.item>
              <para>
                <paratext>Physical access controls.</paratext>
              </para>
            </list.item>
            <list.item>
              <para>
                <paratext>System access controls.</paratext>
              </para>
            </list.item>
            <list.item>
              <para>
                <paratext>Data access controls.</paratext>
              </para>
            </list.item>
            <list.item>
              <para>
                <paratext>Transmission controls.</paratext>
              </para>
            </list.item>
            <list.item>
              <para>
                <paratext>Input controls.</paratext>
              </para>
            </list.item>
            <list.item>
              <para>
                <paratext>Data backups.</paratext>
              </para>
            </list.item>
            <list.item>
              <para>
                <paratext>Data segregation.</paratext>
              </para>
            </list.item>
          </list>
        </appendix>
      </body>
      <rev.history>
        <rev.item>
          <rev.title>European Commission SCCs and UK adequacy decisions</rev.title>
          <rev.date>20210719</rev.date>
          <rev.author>Practical Law Data Protection</rev.author>
          <rev.body>
            <division id="a000001" level="1">
              <para>
                <paratext>We have updated the resource to take account of recent developments in international transfers.</paratext>
              </para>
            </division>
          </rev.body>
        </rev.item>
        <rev.item>
          <rev.title>EU GDPR</rev.title>
          <rev.date>20210506</rev.date>
          <rev.author>Practical Law Data Protection</rev.author>
          <rev.body>
            <division id="a000002" level="1">
              <para>
                <paratext>We have updated this resource to include relevant references from the EU GDPR so that the clauses can be adapted for a UK organisation subject to the EU GDPR.</paratext>
              </para>
            </division>
          </rev.body>
        </rev.item>
        <rev.item>
          <rev.title>Post-Brexit transition period data protection legislation</rev.title>
          <rev.date>20210226</rev.date>
          <rev.author>Practical Law Data Protection</rev.author>
          <rev.body>
            <division id="a000003" level="1">
              <para>
                <paratext>We have updated the resource to reflect UK data protection legislation from 1 January 2021.</paratext>
              </para>
            </division>
          </rev.body>
        </rev.item>
      </rev.history>
    </standard.doc>
  </n-docbody>
</n-document>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D4496F4A-42DE-49F5-A706-017821192B78}">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D9CA9788-8C7D-4AA3-980F-B7F4481B0A6B}">
  <ds:schemaRefs>
    <ds:schemaRef ds:uri="http://schemas.microsoft.com/sharepoint/v3/contenttype/forms"/>
  </ds:schemaRefs>
</ds:datastoreItem>
</file>

<file path=customXml/itemProps4.xml><?xml version="1.0" encoding="utf-8"?>
<ds:datastoreItem xmlns:ds="http://schemas.openxmlformats.org/officeDocument/2006/customXml" ds:itemID="{FAED11AB-4240-4A18-9359-F11CA0A26B28}">
  <ds:schemaRefs>
    <ds:schemaRef ds:uri="http://schemas.microsoft.com/office/2006/metadata/contentType"/>
    <ds:schemaRef ds:uri="http://schemas.microsoft.com/office/2006/metadata/properties/metaAttributes"/>
    <ds:schemaRef ds:uri="http://www.w3.org/2001/XMLSchema"/>
    <ds:schemaRef ds:uri="2a7ea492-4d30-4375-a742-78c18b9f6223"/>
    <ds:schemaRef ds:uri="6a1b676b-ee97-46db-bcf5-42600f5cb04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9496D9-35AC-4AA8-A9EF-7135CA510FC1}">
  <ds:schemaRefs>
    <ds:schemaRef ds:uri="http://schemas.microsoft.com/2004/VisualStudio/Tools/Applications/CachedDataManifest.xsd"/>
  </ds:schemaRefs>
</ds:datastoreItem>
</file>

<file path=customXml/itemProps6.xml><?xml version="1.0" encoding="utf-8"?>
<ds:datastoreItem xmlns:ds="http://schemas.openxmlformats.org/officeDocument/2006/customXml" ds:itemID="{7412A5E8-ED4E-4AEE-9C30-070C2AD9FB3D}">
  <ds:schemaRefs>
    <ds:schemaRef ds:uri="http://www.w3.org/2001/XMLSchema"/>
  </ds:schemaRefs>
</ds:datastoreItem>
</file>

<file path=customXml/itemProps7.xml><?xml version="1.0" encoding="utf-8"?>
<ds:datastoreItem xmlns:ds="http://schemas.openxmlformats.org/officeDocument/2006/customXml" ds:itemID="{24A235E8-31A3-42B1-B0ED-D19314AF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3245</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Sophie</dc:creator>
  <cp:keywords/>
  <dc:description/>
  <cp:lastModifiedBy>Jaspinder Brar | Swyft Home</cp:lastModifiedBy>
  <cp:revision>2</cp:revision>
  <cp:lastPrinted>1601-01-01T00:00:00Z</cp:lastPrinted>
  <dcterms:created xsi:type="dcterms:W3CDTF">2023-10-05T13:36:00Z</dcterms:created>
  <dcterms:modified xsi:type="dcterms:W3CDTF">2023-10-05T13:36:00Z</dcterms:modified>
</cp:coreProperties>
</file>